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F453A" w14:textId="77777777" w:rsidR="00D923CF" w:rsidRDefault="00D923CF" w:rsidP="00D923CF">
      <w:pPr>
        <w:spacing w:after="0" w:line="240" w:lineRule="auto"/>
        <w:rPr>
          <w:rFonts w:ascii="Times New Roman" w:eastAsia="Times New Roman" w:hAnsi="Times New Roman"/>
          <w:sz w:val="28"/>
          <w:szCs w:val="28"/>
          <w:lang w:val="en-US"/>
        </w:rPr>
      </w:pPr>
      <w:r>
        <w:rPr>
          <w:rFonts w:ascii="Times New Roman" w:hAnsi="Times New Roman"/>
          <w:sz w:val="28"/>
          <w:szCs w:val="28"/>
          <w:lang w:val="en-US"/>
        </w:rPr>
        <w:t>IRSTI 34.31.35</w:t>
      </w:r>
    </w:p>
    <w:p w14:paraId="6D1F7B50" w14:textId="77777777" w:rsidR="00D923CF" w:rsidRPr="00EF6D5D" w:rsidRDefault="00D923CF" w:rsidP="00D923CF">
      <w:pPr>
        <w:spacing w:after="0" w:line="240" w:lineRule="auto"/>
        <w:rPr>
          <w:rFonts w:ascii="Times New Roman" w:eastAsia="Times New Roman" w:hAnsi="Times New Roman"/>
          <w:sz w:val="28"/>
          <w:szCs w:val="28"/>
          <w:lang w:val="en-US"/>
        </w:rPr>
      </w:pPr>
      <w:r>
        <w:rPr>
          <w:rFonts w:ascii="Times New Roman" w:hAnsi="Times New Roman"/>
          <w:sz w:val="28"/>
          <w:szCs w:val="28"/>
          <w:lang w:val="en-US"/>
        </w:rPr>
        <w:t>Research article</w:t>
      </w:r>
    </w:p>
    <w:p w14:paraId="6BCAA392" w14:textId="77777777" w:rsidR="00D923CF" w:rsidRDefault="00D923CF" w:rsidP="00D923CF">
      <w:pPr>
        <w:spacing w:after="0" w:line="240" w:lineRule="auto"/>
        <w:jc w:val="center"/>
        <w:rPr>
          <w:rFonts w:ascii="Times New Roman" w:eastAsia="Times New Roman" w:hAnsi="Times New Roman"/>
          <w:b/>
          <w:bCs/>
          <w:sz w:val="28"/>
          <w:szCs w:val="28"/>
          <w:lang w:val="en-US"/>
        </w:rPr>
      </w:pPr>
    </w:p>
    <w:p w14:paraId="57F20D73" w14:textId="77777777" w:rsidR="00D923CF" w:rsidRDefault="00D923CF" w:rsidP="00D923CF">
      <w:pPr>
        <w:spacing w:after="0" w:line="240" w:lineRule="auto"/>
        <w:jc w:val="center"/>
        <w:rPr>
          <w:rFonts w:ascii="Times New Roman" w:eastAsia="Times New Roman" w:hAnsi="Times New Roman"/>
          <w:b/>
          <w:bCs/>
          <w:sz w:val="28"/>
          <w:szCs w:val="28"/>
          <w:lang w:val="en-US"/>
        </w:rPr>
      </w:pPr>
      <w:r>
        <w:rPr>
          <w:rFonts w:ascii="Times New Roman" w:hAnsi="Times New Roman"/>
          <w:b/>
          <w:bCs/>
          <w:sz w:val="28"/>
          <w:szCs w:val="28"/>
          <w:lang w:val="en-US"/>
        </w:rPr>
        <w:t xml:space="preserve">Molecular identification and diversity of </w:t>
      </w:r>
      <w:r>
        <w:rPr>
          <w:rFonts w:ascii="Times New Roman" w:hAnsi="Times New Roman"/>
          <w:b/>
          <w:bCs/>
          <w:i/>
          <w:iCs/>
          <w:sz w:val="28"/>
          <w:szCs w:val="28"/>
          <w:lang w:val="en-US"/>
        </w:rPr>
        <w:t>Aspergillus</w:t>
      </w:r>
      <w:r>
        <w:rPr>
          <w:rFonts w:ascii="Times New Roman" w:hAnsi="Times New Roman"/>
          <w:b/>
          <w:bCs/>
          <w:sz w:val="28"/>
          <w:szCs w:val="28"/>
          <w:lang w:val="en-US"/>
        </w:rPr>
        <w:t xml:space="preserve"> storage fungi in chickpea seeds from the Akmola region, Kazakhstan</w:t>
      </w:r>
    </w:p>
    <w:p w14:paraId="7BFAE6E4" w14:textId="77777777" w:rsidR="00D923CF" w:rsidRPr="00EF6D5D" w:rsidRDefault="00D923CF" w:rsidP="00D923CF">
      <w:pPr>
        <w:spacing w:after="0" w:line="240" w:lineRule="auto"/>
        <w:jc w:val="center"/>
        <w:rPr>
          <w:rFonts w:ascii="Times New Roman" w:eastAsia="Times New Roman" w:hAnsi="Times New Roman"/>
          <w:b/>
          <w:bCs/>
          <w:sz w:val="28"/>
          <w:szCs w:val="28"/>
          <w:lang w:val="en-US"/>
        </w:rPr>
      </w:pPr>
    </w:p>
    <w:p w14:paraId="6378AB2B" w14:textId="77777777" w:rsidR="00D923CF" w:rsidRPr="00EF6D5D" w:rsidRDefault="00D923CF" w:rsidP="00D923CF">
      <w:pPr>
        <w:spacing w:after="0" w:line="240" w:lineRule="auto"/>
        <w:jc w:val="center"/>
        <w:rPr>
          <w:rFonts w:ascii="Times New Roman" w:eastAsia="Times New Roman" w:hAnsi="Times New Roman"/>
          <w:b/>
          <w:bCs/>
          <w:sz w:val="28"/>
          <w:szCs w:val="28"/>
          <w:lang w:val="en-US"/>
        </w:rPr>
      </w:pPr>
      <w:r>
        <w:rPr>
          <w:rFonts w:ascii="Times New Roman" w:hAnsi="Times New Roman"/>
          <w:b/>
          <w:bCs/>
          <w:kern w:val="0"/>
          <w:sz w:val="28"/>
          <w:szCs w:val="28"/>
          <w:lang w:val="en-US"/>
        </w:rPr>
        <w:t xml:space="preserve">R.S. </w:t>
      </w:r>
      <w:r>
        <w:rPr>
          <w:rFonts w:ascii="Times New Roman" w:hAnsi="Times New Roman"/>
          <w:b/>
          <w:bCs/>
          <w:sz w:val="28"/>
          <w:szCs w:val="28"/>
          <w:lang w:val="en-US"/>
        </w:rPr>
        <w:t>Uakhit</w:t>
      </w:r>
      <w:r>
        <w:rPr>
          <w:rFonts w:ascii="Times New Roman" w:hAnsi="Times New Roman"/>
          <w:b/>
          <w:bCs/>
          <w:sz w:val="28"/>
          <w:szCs w:val="28"/>
          <w:vertAlign w:val="superscript"/>
          <w:lang w:val="en-US"/>
        </w:rPr>
        <w:t>1</w:t>
      </w:r>
      <w:r>
        <w:rPr>
          <w:rFonts w:ascii="Times New Roman" w:eastAsia="Times New Roman" w:hAnsi="Times New Roman"/>
          <w:b/>
          <w:bCs/>
          <w:noProof/>
          <w:sz w:val="28"/>
          <w:szCs w:val="28"/>
          <w:vertAlign w:val="superscript"/>
        </w:rPr>
        <w:drawing>
          <wp:inline distT="0" distB="0" distL="0" distR="0" wp14:anchorId="1CBA8987" wp14:editId="3B3ACDE5">
            <wp:extent cx="160655" cy="160655"/>
            <wp:effectExtent l="0" t="0" r="0" b="0"/>
            <wp:docPr id="1073741825" name="officeArt object" descr="Изображение выглядит как круг, Графика, символ, логотип&#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1073741825" name="Изображение выглядит как круг, Графика, символ, логотипАвтоматически созданное описание" descr="Изображение выглядит как круг, Графика, символ, логотипАвтоматически созданное описание"/>
                    <pic:cNvPicPr>
                      <a:picLocks noChangeAspect="1"/>
                    </pic:cNvPicPr>
                  </pic:nvPicPr>
                  <pic:blipFill>
                    <a:blip r:embed="rId5"/>
                    <a:stretch>
                      <a:fillRect/>
                    </a:stretch>
                  </pic:blipFill>
                  <pic:spPr>
                    <a:xfrm>
                      <a:off x="0" y="0"/>
                      <a:ext cx="160655" cy="160655"/>
                    </a:xfrm>
                    <a:prstGeom prst="rect">
                      <a:avLst/>
                    </a:prstGeom>
                    <a:ln w="12700" cap="flat">
                      <a:noFill/>
                      <a:miter lim="400000"/>
                    </a:ln>
                    <a:effectLst/>
                  </pic:spPr>
                </pic:pic>
              </a:graphicData>
            </a:graphic>
          </wp:inline>
        </w:drawing>
      </w:r>
      <w:r>
        <w:rPr>
          <w:rFonts w:ascii="Times New Roman" w:hAnsi="Times New Roman"/>
          <w:b/>
          <w:bCs/>
          <w:kern w:val="0"/>
          <w:sz w:val="28"/>
          <w:szCs w:val="28"/>
          <w:lang w:val="en-US"/>
        </w:rPr>
        <w:t>, A.M. Smaggulova</w:t>
      </w:r>
      <w:r>
        <w:rPr>
          <w:rFonts w:ascii="Times New Roman" w:hAnsi="Times New Roman"/>
          <w:b/>
          <w:bCs/>
          <w:kern w:val="0"/>
          <w:sz w:val="28"/>
          <w:szCs w:val="28"/>
          <w:vertAlign w:val="superscript"/>
          <w:lang w:val="en-US"/>
        </w:rPr>
        <w:t>2</w:t>
      </w:r>
      <w:r>
        <w:rPr>
          <w:rFonts w:ascii="Times New Roman" w:eastAsia="Times New Roman" w:hAnsi="Times New Roman"/>
          <w:b/>
          <w:bCs/>
          <w:noProof/>
          <w:sz w:val="28"/>
          <w:szCs w:val="28"/>
          <w:vertAlign w:val="superscript"/>
        </w:rPr>
        <w:drawing>
          <wp:inline distT="0" distB="0" distL="0" distR="0" wp14:anchorId="59F99977" wp14:editId="57814AD0">
            <wp:extent cx="160655" cy="160655"/>
            <wp:effectExtent l="0" t="0" r="0" b="0"/>
            <wp:docPr id="1073741826" name="officeArt object" descr="Изображение выглядит как круг, Графика, символ, логотип&#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1073741826" name="Изображение выглядит как круг, Графика, символ, логотипАвтоматически созданное описание" descr="Изображение выглядит как круг, Графика, символ, логотипАвтоматически созданное описание"/>
                    <pic:cNvPicPr>
                      <a:picLocks noChangeAspect="1"/>
                    </pic:cNvPicPr>
                  </pic:nvPicPr>
                  <pic:blipFill>
                    <a:blip r:embed="rId5"/>
                    <a:stretch>
                      <a:fillRect/>
                    </a:stretch>
                  </pic:blipFill>
                  <pic:spPr>
                    <a:xfrm>
                      <a:off x="0" y="0"/>
                      <a:ext cx="160655" cy="160655"/>
                    </a:xfrm>
                    <a:prstGeom prst="rect">
                      <a:avLst/>
                    </a:prstGeom>
                    <a:ln w="12700" cap="flat">
                      <a:noFill/>
                      <a:miter lim="400000"/>
                    </a:ln>
                    <a:effectLst/>
                  </pic:spPr>
                </pic:pic>
              </a:graphicData>
            </a:graphic>
          </wp:inline>
        </w:drawing>
      </w:r>
      <w:r>
        <w:rPr>
          <w:rFonts w:ascii="Times New Roman" w:hAnsi="Times New Roman"/>
          <w:b/>
          <w:bCs/>
          <w:kern w:val="0"/>
          <w:sz w:val="28"/>
          <w:szCs w:val="28"/>
          <w:lang w:val="en-US"/>
        </w:rPr>
        <w:t>, A.S. Abash</w:t>
      </w:r>
      <w:r>
        <w:rPr>
          <w:rFonts w:ascii="Times New Roman" w:hAnsi="Times New Roman"/>
          <w:b/>
          <w:bCs/>
          <w:kern w:val="0"/>
          <w:sz w:val="28"/>
          <w:szCs w:val="28"/>
          <w:vertAlign w:val="superscript"/>
          <w:lang w:val="en-US"/>
        </w:rPr>
        <w:t>3</w:t>
      </w:r>
      <w:r>
        <w:rPr>
          <w:rFonts w:ascii="Times New Roman" w:eastAsia="Times New Roman" w:hAnsi="Times New Roman"/>
          <w:b/>
          <w:bCs/>
          <w:noProof/>
          <w:sz w:val="28"/>
          <w:szCs w:val="28"/>
          <w:vertAlign w:val="superscript"/>
        </w:rPr>
        <w:drawing>
          <wp:inline distT="0" distB="0" distL="0" distR="0" wp14:anchorId="161FEC93" wp14:editId="61C3832A">
            <wp:extent cx="160655" cy="160655"/>
            <wp:effectExtent l="0" t="0" r="0" b="0"/>
            <wp:docPr id="1073741827" name="officeArt object" descr="Изображение выглядит как круг, Графика, символ, логотип&#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1073741827" name="Изображение выглядит как круг, Графика, символ, логотипАвтоматически созданное описание" descr="Изображение выглядит как круг, Графика, символ, логотипАвтоматически созданное описание"/>
                    <pic:cNvPicPr>
                      <a:picLocks noChangeAspect="1"/>
                    </pic:cNvPicPr>
                  </pic:nvPicPr>
                  <pic:blipFill>
                    <a:blip r:embed="rId5"/>
                    <a:stretch>
                      <a:fillRect/>
                    </a:stretch>
                  </pic:blipFill>
                  <pic:spPr>
                    <a:xfrm>
                      <a:off x="0" y="0"/>
                      <a:ext cx="160655" cy="160655"/>
                    </a:xfrm>
                    <a:prstGeom prst="rect">
                      <a:avLst/>
                    </a:prstGeom>
                    <a:ln w="12700" cap="flat">
                      <a:noFill/>
                      <a:miter lim="400000"/>
                    </a:ln>
                    <a:effectLst/>
                  </pic:spPr>
                </pic:pic>
              </a:graphicData>
            </a:graphic>
          </wp:inline>
        </w:drawing>
      </w:r>
      <w:r>
        <w:rPr>
          <w:rFonts w:ascii="Times New Roman" w:hAnsi="Times New Roman"/>
          <w:b/>
          <w:bCs/>
          <w:kern w:val="0"/>
          <w:sz w:val="28"/>
          <w:szCs w:val="28"/>
          <w:lang w:val="en-US"/>
        </w:rPr>
        <w:t xml:space="preserve">, </w:t>
      </w:r>
      <w:r>
        <w:rPr>
          <w:rFonts w:ascii="Times New Roman" w:eastAsia="Times New Roman" w:hAnsi="Times New Roman"/>
          <w:b/>
          <w:bCs/>
          <w:kern w:val="0"/>
          <w:sz w:val="28"/>
          <w:szCs w:val="28"/>
          <w:lang w:val="en-US"/>
        </w:rPr>
        <w:br/>
      </w:r>
      <w:r>
        <w:rPr>
          <w:rFonts w:ascii="Times New Roman" w:hAnsi="Times New Roman"/>
          <w:b/>
          <w:bCs/>
          <w:kern w:val="0"/>
          <w:sz w:val="28"/>
          <w:szCs w:val="28"/>
          <w:lang w:val="en-US"/>
        </w:rPr>
        <w:t>V.S. Kiyan</w:t>
      </w:r>
      <w:r>
        <w:rPr>
          <w:rFonts w:ascii="Times New Roman" w:hAnsi="Times New Roman"/>
          <w:b/>
          <w:bCs/>
          <w:kern w:val="0"/>
          <w:sz w:val="28"/>
          <w:szCs w:val="28"/>
          <w:vertAlign w:val="superscript"/>
          <w:lang w:val="en-US"/>
        </w:rPr>
        <w:t>4</w:t>
      </w:r>
      <w:r>
        <w:rPr>
          <w:rFonts w:ascii="Times New Roman" w:eastAsia="Times New Roman" w:hAnsi="Times New Roman"/>
          <w:b/>
          <w:bCs/>
          <w:noProof/>
          <w:sz w:val="28"/>
          <w:szCs w:val="28"/>
          <w:vertAlign w:val="superscript"/>
        </w:rPr>
        <w:drawing>
          <wp:inline distT="0" distB="0" distL="0" distR="0" wp14:anchorId="248BD234" wp14:editId="230BD69B">
            <wp:extent cx="160655" cy="160655"/>
            <wp:effectExtent l="0" t="0" r="0" b="0"/>
            <wp:docPr id="1073741828" name="officeArt object" descr="Изображение выглядит как круг, Графика, символ, логотип&#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1073741828" name="Изображение выглядит как круг, Графика, символ, логотипАвтоматически созданное описание" descr="Изображение выглядит как круг, Графика, символ, логотипАвтоматически созданное описание"/>
                    <pic:cNvPicPr>
                      <a:picLocks noChangeAspect="1"/>
                    </pic:cNvPicPr>
                  </pic:nvPicPr>
                  <pic:blipFill>
                    <a:blip r:embed="rId5"/>
                    <a:stretch>
                      <a:fillRect/>
                    </a:stretch>
                  </pic:blipFill>
                  <pic:spPr>
                    <a:xfrm>
                      <a:off x="0" y="0"/>
                      <a:ext cx="160655" cy="160655"/>
                    </a:xfrm>
                    <a:prstGeom prst="rect">
                      <a:avLst/>
                    </a:prstGeom>
                    <a:ln w="12700" cap="flat">
                      <a:noFill/>
                      <a:miter lim="400000"/>
                    </a:ln>
                    <a:effectLst/>
                  </pic:spPr>
                </pic:pic>
              </a:graphicData>
            </a:graphic>
          </wp:inline>
        </w:drawing>
      </w:r>
      <w:r>
        <w:rPr>
          <w:rFonts w:ascii="Times New Roman" w:hAnsi="Times New Roman"/>
          <w:b/>
          <w:bCs/>
          <w:kern w:val="0"/>
          <w:sz w:val="28"/>
          <w:szCs w:val="28"/>
          <w:lang w:val="en-US"/>
        </w:rPr>
        <w:t xml:space="preserve">, </w:t>
      </w:r>
      <w:r>
        <w:rPr>
          <w:rFonts w:ascii="Times New Roman" w:hAnsi="Times New Roman"/>
          <w:b/>
          <w:bCs/>
          <w:sz w:val="28"/>
          <w:szCs w:val="28"/>
          <w:lang w:val="en-US"/>
        </w:rPr>
        <w:t>K.A. Dyussembayev*</w:t>
      </w:r>
      <w:r>
        <w:rPr>
          <w:rFonts w:ascii="Times New Roman" w:hAnsi="Times New Roman"/>
          <w:b/>
          <w:bCs/>
          <w:sz w:val="28"/>
          <w:szCs w:val="28"/>
          <w:vertAlign w:val="superscript"/>
          <w:lang w:val="en-US"/>
        </w:rPr>
        <w:t>5</w:t>
      </w:r>
      <w:r>
        <w:rPr>
          <w:rFonts w:ascii="Times New Roman" w:eastAsia="Times New Roman" w:hAnsi="Times New Roman"/>
          <w:b/>
          <w:bCs/>
          <w:noProof/>
          <w:sz w:val="28"/>
          <w:szCs w:val="28"/>
          <w:vertAlign w:val="superscript"/>
        </w:rPr>
        <w:drawing>
          <wp:inline distT="0" distB="0" distL="0" distR="0" wp14:anchorId="1834B740" wp14:editId="3966DBE8">
            <wp:extent cx="160655" cy="160655"/>
            <wp:effectExtent l="0" t="0" r="0" b="0"/>
            <wp:docPr id="1073741829" name="officeArt object" descr="Изображение выглядит как круг, Графика, символ, логотип&#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1073741829" name="Изображение выглядит как круг, Графика, символ, логотипАвтоматически созданное описание" descr="Изображение выглядит как круг, Графика, символ, логотипАвтоматически созданное описание"/>
                    <pic:cNvPicPr>
                      <a:picLocks noChangeAspect="1"/>
                    </pic:cNvPicPr>
                  </pic:nvPicPr>
                  <pic:blipFill>
                    <a:blip r:embed="rId5"/>
                    <a:stretch>
                      <a:fillRect/>
                    </a:stretch>
                  </pic:blipFill>
                  <pic:spPr>
                    <a:xfrm>
                      <a:off x="0" y="0"/>
                      <a:ext cx="160655" cy="160655"/>
                    </a:xfrm>
                    <a:prstGeom prst="rect">
                      <a:avLst/>
                    </a:prstGeom>
                    <a:ln w="12700" cap="flat">
                      <a:noFill/>
                      <a:miter lim="400000"/>
                    </a:ln>
                    <a:effectLst/>
                  </pic:spPr>
                </pic:pic>
              </a:graphicData>
            </a:graphic>
          </wp:inline>
        </w:drawing>
      </w:r>
    </w:p>
    <w:p w14:paraId="274B7181" w14:textId="77777777" w:rsidR="00D923CF" w:rsidRPr="00EF6D5D" w:rsidRDefault="00D923CF" w:rsidP="00D923CF">
      <w:pPr>
        <w:spacing w:after="0" w:line="240" w:lineRule="auto"/>
        <w:jc w:val="center"/>
        <w:rPr>
          <w:rFonts w:ascii="Times New Roman" w:eastAsia="Times New Roman" w:hAnsi="Times New Roman"/>
          <w:b/>
          <w:bCs/>
          <w:kern w:val="0"/>
          <w:sz w:val="28"/>
          <w:szCs w:val="28"/>
          <w:lang w:val="en-US"/>
        </w:rPr>
      </w:pPr>
    </w:p>
    <w:p w14:paraId="144E3663" w14:textId="77777777" w:rsidR="00D923CF" w:rsidRDefault="00D923CF" w:rsidP="00D923CF">
      <w:pPr>
        <w:spacing w:after="0" w:line="240" w:lineRule="auto"/>
        <w:ind w:right="142"/>
        <w:jc w:val="center"/>
        <w:rPr>
          <w:rFonts w:ascii="Times New Roman" w:eastAsia="Times New Roman" w:hAnsi="Times New Roman"/>
          <w:i/>
          <w:iCs/>
          <w:kern w:val="0"/>
          <w:sz w:val="28"/>
          <w:szCs w:val="28"/>
          <w:lang w:val="en-US"/>
        </w:rPr>
      </w:pPr>
      <w:r>
        <w:rPr>
          <w:rFonts w:ascii="Times New Roman" w:hAnsi="Times New Roman"/>
          <w:i/>
          <w:iCs/>
          <w:kern w:val="0"/>
          <w:sz w:val="28"/>
          <w:szCs w:val="28"/>
          <w:vertAlign w:val="superscript"/>
          <w:lang w:val="en-US"/>
        </w:rPr>
        <w:t>1,2,4,5</w:t>
      </w:r>
      <w:r>
        <w:rPr>
          <w:rFonts w:ascii="Times New Roman" w:hAnsi="Times New Roman"/>
          <w:i/>
          <w:iCs/>
          <w:kern w:val="0"/>
          <w:sz w:val="28"/>
          <w:szCs w:val="28"/>
          <w:lang w:val="en-US"/>
        </w:rPr>
        <w:t>Laboratory of Biodiversity and Genetic Resources, National Center of Biotechnology, Astana, Kazakhstan</w:t>
      </w:r>
    </w:p>
    <w:p w14:paraId="1789233F" w14:textId="77777777" w:rsidR="00D923CF" w:rsidRPr="00EF6D5D" w:rsidRDefault="00D923CF" w:rsidP="00D923CF">
      <w:pPr>
        <w:spacing w:after="0" w:line="240" w:lineRule="auto"/>
        <w:ind w:right="142"/>
        <w:jc w:val="center"/>
        <w:rPr>
          <w:rFonts w:ascii="Times New Roman" w:eastAsia="Times New Roman" w:hAnsi="Times New Roman"/>
          <w:i/>
          <w:iCs/>
          <w:kern w:val="0"/>
          <w:sz w:val="28"/>
          <w:szCs w:val="28"/>
          <w:lang w:val="en-US"/>
        </w:rPr>
      </w:pPr>
      <w:r>
        <w:rPr>
          <w:rFonts w:ascii="Times New Roman" w:hAnsi="Times New Roman"/>
          <w:i/>
          <w:iCs/>
          <w:kern w:val="0"/>
          <w:sz w:val="28"/>
          <w:szCs w:val="28"/>
          <w:vertAlign w:val="superscript"/>
          <w:lang w:val="en-US"/>
        </w:rPr>
        <w:t>3</w:t>
      </w:r>
      <w:r>
        <w:rPr>
          <w:rFonts w:ascii="Times New Roman" w:hAnsi="Times New Roman"/>
          <w:i/>
          <w:iCs/>
          <w:kern w:val="0"/>
          <w:sz w:val="28"/>
          <w:szCs w:val="28"/>
          <w:lang w:val="en-US"/>
        </w:rPr>
        <w:t>Higher School of Natural Sciences, Astana International University, Astana, Kazakhstan</w:t>
      </w:r>
    </w:p>
    <w:p w14:paraId="0319F2F8" w14:textId="77777777" w:rsidR="00D923CF" w:rsidRDefault="00D923CF" w:rsidP="00D923CF">
      <w:pPr>
        <w:spacing w:after="0" w:line="240" w:lineRule="auto"/>
        <w:ind w:right="142"/>
        <w:jc w:val="center"/>
        <w:rPr>
          <w:rFonts w:ascii="Times New Roman" w:eastAsia="Times New Roman" w:hAnsi="Times New Roman"/>
          <w:i/>
          <w:iCs/>
          <w:kern w:val="0"/>
          <w:sz w:val="28"/>
          <w:szCs w:val="28"/>
          <w:lang w:val="en-US"/>
        </w:rPr>
      </w:pPr>
      <w:r>
        <w:rPr>
          <w:rFonts w:ascii="Times New Roman" w:hAnsi="Times New Roman"/>
          <w:i/>
          <w:iCs/>
          <w:kern w:val="0"/>
          <w:sz w:val="28"/>
          <w:szCs w:val="28"/>
          <w:vertAlign w:val="superscript"/>
          <w:lang w:val="en-US"/>
        </w:rPr>
        <w:t>5</w:t>
      </w:r>
      <w:r>
        <w:rPr>
          <w:rFonts w:ascii="Times New Roman" w:hAnsi="Times New Roman"/>
          <w:i/>
          <w:iCs/>
          <w:kern w:val="0"/>
          <w:sz w:val="28"/>
          <w:szCs w:val="28"/>
          <w:lang w:val="en-US"/>
        </w:rPr>
        <w:t>Department of Biotechnology and Microbiology, L.N. Gumilyov Eurasian National University, Astana, Kazakhstan</w:t>
      </w:r>
    </w:p>
    <w:p w14:paraId="158AC7B9" w14:textId="77777777" w:rsidR="00D923CF" w:rsidRDefault="00D923CF" w:rsidP="00D923CF">
      <w:pPr>
        <w:spacing w:after="0" w:line="240" w:lineRule="auto"/>
        <w:jc w:val="center"/>
        <w:rPr>
          <w:rFonts w:ascii="Times New Roman" w:eastAsia="Times New Roman" w:hAnsi="Times New Roman"/>
          <w:i/>
          <w:iCs/>
          <w:sz w:val="28"/>
          <w:szCs w:val="28"/>
          <w:lang w:val="en-US"/>
        </w:rPr>
      </w:pPr>
    </w:p>
    <w:p w14:paraId="081CBD75" w14:textId="77777777" w:rsidR="00D923CF" w:rsidRDefault="00D923CF" w:rsidP="00D923CF">
      <w:pPr>
        <w:spacing w:after="0" w:line="240" w:lineRule="auto"/>
        <w:ind w:right="142"/>
        <w:jc w:val="center"/>
        <w:rPr>
          <w:rStyle w:val="Hyperlink0"/>
          <w:rFonts w:eastAsia="Aptos"/>
        </w:rPr>
      </w:pPr>
      <w:r>
        <w:rPr>
          <w:rFonts w:ascii="Times New Roman" w:hAnsi="Times New Roman"/>
          <w:i/>
          <w:iCs/>
          <w:kern w:val="0"/>
          <w:sz w:val="24"/>
          <w:szCs w:val="24"/>
          <w:lang w:val="en-US"/>
        </w:rPr>
        <w:t>E-mail: erken.uakhitrabiga@gmail.com</w:t>
      </w:r>
      <w:r>
        <w:rPr>
          <w:rFonts w:ascii="Times New Roman" w:hAnsi="Times New Roman"/>
          <w:i/>
          <w:iCs/>
          <w:kern w:val="0"/>
          <w:sz w:val="24"/>
          <w:szCs w:val="24"/>
          <w:vertAlign w:val="superscript"/>
          <w:lang w:val="en-US"/>
        </w:rPr>
        <w:t>1</w:t>
      </w:r>
      <w:r>
        <w:rPr>
          <w:rFonts w:ascii="Times New Roman" w:hAnsi="Times New Roman"/>
          <w:i/>
          <w:iCs/>
          <w:kern w:val="0"/>
          <w:sz w:val="24"/>
          <w:szCs w:val="24"/>
          <w:lang w:val="en-US"/>
        </w:rPr>
        <w:t xml:space="preserve">, </w:t>
      </w:r>
      <w:hyperlink r:id="rId6" w:history="1">
        <w:r>
          <w:rPr>
            <w:rStyle w:val="Hyperlink0"/>
            <w:rFonts w:eastAsia="Aptos"/>
          </w:rPr>
          <w:t>smagulova0114@gmail.com</w:t>
        </w:r>
      </w:hyperlink>
      <w:r>
        <w:rPr>
          <w:rStyle w:val="a0"/>
          <w:rFonts w:ascii="Times New Roman" w:hAnsi="Times New Roman"/>
          <w:i/>
          <w:iCs/>
          <w:kern w:val="0"/>
          <w:sz w:val="24"/>
          <w:szCs w:val="24"/>
          <w:vertAlign w:val="superscript"/>
          <w:lang w:val="en-US"/>
        </w:rPr>
        <w:t>2</w:t>
      </w:r>
      <w:r>
        <w:rPr>
          <w:rStyle w:val="Hyperlink0"/>
          <w:rFonts w:eastAsia="Aptos"/>
        </w:rPr>
        <w:t>, altın_jan82@mail.ru</w:t>
      </w:r>
      <w:r>
        <w:rPr>
          <w:rStyle w:val="a0"/>
          <w:rFonts w:ascii="Times New Roman" w:hAnsi="Times New Roman"/>
          <w:i/>
          <w:iCs/>
          <w:kern w:val="0"/>
          <w:sz w:val="24"/>
          <w:szCs w:val="24"/>
          <w:vertAlign w:val="superscript"/>
          <w:lang w:val="en-US"/>
        </w:rPr>
        <w:t>3</w:t>
      </w:r>
      <w:r>
        <w:rPr>
          <w:rStyle w:val="Hyperlink0"/>
          <w:rFonts w:eastAsia="Aptos"/>
        </w:rPr>
        <w:t>, vskiyan@gmail.com</w:t>
      </w:r>
      <w:r>
        <w:rPr>
          <w:rStyle w:val="a0"/>
          <w:rFonts w:ascii="Times New Roman" w:hAnsi="Times New Roman"/>
          <w:i/>
          <w:iCs/>
          <w:kern w:val="0"/>
          <w:sz w:val="24"/>
          <w:szCs w:val="24"/>
          <w:vertAlign w:val="superscript"/>
          <w:lang w:val="en-US"/>
        </w:rPr>
        <w:t>4</w:t>
      </w:r>
      <w:r>
        <w:rPr>
          <w:rStyle w:val="Hyperlink0"/>
          <w:rFonts w:eastAsia="Aptos"/>
        </w:rPr>
        <w:t xml:space="preserve">, </w:t>
      </w:r>
      <w:hyperlink r:id="rId7" w:history="1">
        <w:r>
          <w:rPr>
            <w:rStyle w:val="Hyperlink0"/>
            <w:rFonts w:eastAsia="Aptos"/>
          </w:rPr>
          <w:t>dyussembayev@biocenter.kz</w:t>
        </w:r>
      </w:hyperlink>
      <w:r>
        <w:rPr>
          <w:rStyle w:val="a0"/>
          <w:rFonts w:ascii="Times New Roman" w:hAnsi="Times New Roman"/>
          <w:i/>
          <w:iCs/>
          <w:kern w:val="0"/>
          <w:sz w:val="24"/>
          <w:szCs w:val="24"/>
          <w:vertAlign w:val="superscript"/>
          <w:lang w:val="en-US"/>
        </w:rPr>
        <w:t>5</w:t>
      </w:r>
    </w:p>
    <w:p w14:paraId="519CF34A" w14:textId="77777777" w:rsidR="00D923CF" w:rsidRDefault="00D923CF" w:rsidP="00D923CF">
      <w:pPr>
        <w:spacing w:after="0" w:line="240" w:lineRule="auto"/>
        <w:ind w:right="142"/>
        <w:jc w:val="center"/>
        <w:rPr>
          <w:rStyle w:val="a0"/>
          <w:rFonts w:ascii="Times New Roman" w:eastAsia="Times New Roman" w:hAnsi="Times New Roman"/>
          <w:i/>
          <w:iCs/>
          <w:kern w:val="0"/>
          <w:sz w:val="24"/>
          <w:szCs w:val="24"/>
          <w:lang w:val="en-US"/>
        </w:rPr>
      </w:pPr>
    </w:p>
    <w:p w14:paraId="0D2E4A28" w14:textId="77777777" w:rsidR="00D923CF" w:rsidRDefault="00D923CF" w:rsidP="00D923CF">
      <w:pPr>
        <w:spacing w:after="0" w:line="240" w:lineRule="auto"/>
        <w:jc w:val="both"/>
        <w:rPr>
          <w:rStyle w:val="a0"/>
          <w:rFonts w:ascii="Times New Roman" w:eastAsia="Times New Roman" w:hAnsi="Times New Roman"/>
          <w:kern w:val="0"/>
          <w:sz w:val="28"/>
          <w:szCs w:val="28"/>
          <w:lang w:val="en-US"/>
        </w:rPr>
      </w:pPr>
      <w:r>
        <w:rPr>
          <w:rStyle w:val="a0"/>
          <w:rFonts w:ascii="Times New Roman" w:hAnsi="Times New Roman"/>
          <w:b/>
          <w:bCs/>
          <w:kern w:val="0"/>
          <w:sz w:val="28"/>
          <w:szCs w:val="28"/>
          <w:lang w:val="en-US"/>
        </w:rPr>
        <w:t xml:space="preserve">Abstract. </w:t>
      </w:r>
      <w:r>
        <w:rPr>
          <w:rStyle w:val="a0"/>
          <w:rFonts w:ascii="Times New Roman" w:hAnsi="Times New Roman"/>
          <w:kern w:val="0"/>
          <w:sz w:val="28"/>
          <w:szCs w:val="28"/>
          <w:lang w:val="en-US"/>
        </w:rPr>
        <w:t>Chickpea (</w:t>
      </w:r>
      <w:r>
        <w:rPr>
          <w:rStyle w:val="a0"/>
          <w:rFonts w:ascii="Times New Roman" w:hAnsi="Times New Roman"/>
          <w:i/>
          <w:iCs/>
          <w:kern w:val="0"/>
          <w:sz w:val="28"/>
          <w:szCs w:val="28"/>
          <w:lang w:val="en-US"/>
        </w:rPr>
        <w:t>Cicer arietinum</w:t>
      </w:r>
      <w:r>
        <w:rPr>
          <w:rStyle w:val="a0"/>
          <w:rFonts w:ascii="Times New Roman" w:hAnsi="Times New Roman"/>
          <w:kern w:val="0"/>
          <w:sz w:val="28"/>
          <w:szCs w:val="28"/>
          <w:lang w:val="en-US"/>
        </w:rPr>
        <w:t xml:space="preserve"> L.) is a vital legume whose post-harvest quality is frequently compromised by opportunistic storage fungi, posing both economic losses and potential health risks due to mycotoxin contamination. Despite its agricultural importance, information regarding storage fungi affecting chickpea seeds in Kazakhstan remains limited. This study aimed to isolate and identify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species contaminating chickpea seeds cultivated in the Akmola region. Over 200 seed samples representing local agricultural production were evaluated. Initial microbiological analysis and microscopic examination were followed by accurate molecular identification through the amplification sequencing of the internal transcribed spacer (ITS) region of ribosomal DNA. Phylogenetic analysis of the obtained sequences confirmed the presence of two distinct species: </w:t>
      </w:r>
      <w:r>
        <w:rPr>
          <w:rStyle w:val="a0"/>
          <w:rFonts w:ascii="Times New Roman" w:hAnsi="Times New Roman"/>
          <w:i/>
          <w:iCs/>
          <w:kern w:val="0"/>
          <w:sz w:val="28"/>
          <w:szCs w:val="28"/>
          <w:lang w:val="en-US"/>
        </w:rPr>
        <w:t>Aspergillus niger</w:t>
      </w:r>
      <w:r>
        <w:rPr>
          <w:rStyle w:val="a0"/>
          <w:rFonts w:ascii="Times New Roman" w:hAnsi="Times New Roman"/>
          <w:kern w:val="0"/>
          <w:sz w:val="28"/>
          <w:szCs w:val="28"/>
          <w:lang w:val="en-US"/>
        </w:rPr>
        <w:t xml:space="preserve"> and </w:t>
      </w:r>
      <w:r>
        <w:rPr>
          <w:rStyle w:val="a0"/>
          <w:rFonts w:ascii="Times New Roman" w:hAnsi="Times New Roman"/>
          <w:i/>
          <w:iCs/>
          <w:kern w:val="0"/>
          <w:sz w:val="28"/>
          <w:szCs w:val="28"/>
          <w:lang w:val="en-US"/>
        </w:rPr>
        <w:t>Aspergillus fumigatus</w:t>
      </w:r>
      <w:r>
        <w:rPr>
          <w:rStyle w:val="a0"/>
          <w:rFonts w:ascii="Times New Roman" w:hAnsi="Times New Roman"/>
          <w:kern w:val="0"/>
          <w:sz w:val="28"/>
          <w:szCs w:val="28"/>
          <w:lang w:val="en-US"/>
        </w:rPr>
        <w:t>. The isolation of these ubiquitous saprophytes indicates significant post-harvest fungal proliferation, likely exacerbated by local climatic factors and storage microclimates. These findings highlight a critical vulnerability in regional post-harvest infrastructure and underscore the necessity for rigorous phytosanitary monitoring. Implementing improved, sustainable storage management strategies is essential to mitigate fungal contamination and ensure the safety of local agricultural commodities.</w:t>
      </w:r>
    </w:p>
    <w:p w14:paraId="43DFA611" w14:textId="77777777" w:rsidR="00D923CF" w:rsidRPr="00EF6D5D" w:rsidRDefault="00D923CF" w:rsidP="00D923CF">
      <w:pPr>
        <w:spacing w:after="0" w:line="240" w:lineRule="auto"/>
        <w:ind w:right="142"/>
        <w:jc w:val="both"/>
        <w:rPr>
          <w:rStyle w:val="a0"/>
          <w:rFonts w:ascii="Times New Roman" w:eastAsia="Times New Roman" w:hAnsi="Times New Roman"/>
          <w:kern w:val="0"/>
          <w:sz w:val="28"/>
          <w:szCs w:val="28"/>
          <w:lang w:val="en-US"/>
        </w:rPr>
      </w:pPr>
      <w:r>
        <w:rPr>
          <w:rStyle w:val="a0"/>
          <w:rFonts w:ascii="Times New Roman" w:hAnsi="Times New Roman"/>
          <w:b/>
          <w:bCs/>
          <w:kern w:val="0"/>
          <w:sz w:val="28"/>
          <w:szCs w:val="28"/>
          <w:lang w:val="en-US"/>
        </w:rPr>
        <w:t xml:space="preserve">Keywords: </w:t>
      </w:r>
      <w:r>
        <w:rPr>
          <w:rStyle w:val="a0"/>
          <w:rFonts w:ascii="Times New Roman" w:hAnsi="Times New Roman"/>
          <w:i/>
          <w:iCs/>
          <w:kern w:val="0"/>
          <w:sz w:val="28"/>
          <w:szCs w:val="28"/>
          <w:lang w:val="en-US"/>
        </w:rPr>
        <w:t>Cicer arietinum</w:t>
      </w:r>
      <w:r>
        <w:rPr>
          <w:rStyle w:val="a0"/>
          <w:rFonts w:ascii="Times New Roman" w:hAnsi="Times New Roman"/>
          <w:kern w:val="0"/>
          <w:sz w:val="28"/>
          <w:szCs w:val="28"/>
          <w:lang w:val="en-US"/>
        </w:rPr>
        <w:t xml:space="preserve">, storage fungi, </w:t>
      </w:r>
      <w:r>
        <w:rPr>
          <w:rStyle w:val="a0"/>
          <w:rFonts w:ascii="Times New Roman" w:hAnsi="Times New Roman"/>
          <w:i/>
          <w:iCs/>
          <w:kern w:val="0"/>
          <w:sz w:val="28"/>
          <w:szCs w:val="28"/>
          <w:lang w:val="en-US"/>
        </w:rPr>
        <w:t>Aspergillus niger</w:t>
      </w:r>
      <w:r>
        <w:rPr>
          <w:rStyle w:val="a0"/>
          <w:rFonts w:ascii="Times New Roman" w:hAnsi="Times New Roman"/>
          <w:kern w:val="0"/>
          <w:sz w:val="28"/>
          <w:szCs w:val="28"/>
          <w:lang w:val="en-US"/>
        </w:rPr>
        <w:t xml:space="preserve">, </w:t>
      </w:r>
      <w:r>
        <w:rPr>
          <w:rStyle w:val="a0"/>
          <w:rFonts w:ascii="Times New Roman" w:hAnsi="Times New Roman"/>
          <w:i/>
          <w:iCs/>
          <w:kern w:val="0"/>
          <w:sz w:val="28"/>
          <w:szCs w:val="28"/>
          <w:lang w:val="en-US"/>
        </w:rPr>
        <w:t>Aspergillus fumigatus</w:t>
      </w:r>
      <w:r>
        <w:rPr>
          <w:rStyle w:val="a0"/>
          <w:rFonts w:ascii="Times New Roman" w:hAnsi="Times New Roman"/>
          <w:kern w:val="0"/>
          <w:sz w:val="28"/>
          <w:szCs w:val="28"/>
          <w:lang w:val="en-US"/>
        </w:rPr>
        <w:t>, ITS rDNA, phytosanitary monitoring, post-harvest quality</w:t>
      </w:r>
    </w:p>
    <w:p w14:paraId="75F2A33A" w14:textId="77777777" w:rsidR="00D923CF" w:rsidRDefault="00D923CF" w:rsidP="00D923CF">
      <w:pPr>
        <w:spacing w:after="0" w:line="240" w:lineRule="auto"/>
        <w:ind w:right="142"/>
        <w:jc w:val="both"/>
        <w:rPr>
          <w:rStyle w:val="a0"/>
          <w:rFonts w:ascii="Times New Roman" w:eastAsia="Times New Roman" w:hAnsi="Times New Roman"/>
          <w:kern w:val="0"/>
          <w:sz w:val="28"/>
          <w:szCs w:val="28"/>
          <w:lang w:val="en-US"/>
        </w:rPr>
      </w:pPr>
    </w:p>
    <w:p w14:paraId="786CEC17" w14:textId="77777777" w:rsidR="00D923CF" w:rsidRDefault="00D923CF" w:rsidP="00D923CF">
      <w:pPr>
        <w:spacing w:after="0" w:line="240" w:lineRule="auto"/>
        <w:jc w:val="right"/>
        <w:rPr>
          <w:rStyle w:val="Hyperlink1"/>
          <w:rFonts w:eastAsia="Aptos"/>
        </w:rPr>
      </w:pPr>
      <w:r>
        <w:rPr>
          <w:rStyle w:val="a0"/>
          <w:rFonts w:ascii="Times New Roman" w:hAnsi="Times New Roman"/>
          <w:sz w:val="24"/>
          <w:szCs w:val="24"/>
          <w:lang w:val="en-US"/>
        </w:rPr>
        <w:t xml:space="preserve">DOI: </w:t>
      </w:r>
      <w:hyperlink r:id="rId8" w:history="1">
        <w:r>
          <w:rPr>
            <w:rStyle w:val="Hyperlink1"/>
            <w:rFonts w:eastAsia="Aptos"/>
          </w:rPr>
          <w:t>https://doi.org/10.32523/2789-4320-2024-1-x-x</w:t>
        </w:r>
      </w:hyperlink>
      <w:r>
        <w:rPr>
          <w:rStyle w:val="Hyperlink1"/>
          <w:rFonts w:eastAsia="Aptos"/>
        </w:rPr>
        <w:t xml:space="preserve"> </w:t>
      </w:r>
    </w:p>
    <w:p w14:paraId="05AA3083" w14:textId="77777777" w:rsidR="00D923CF" w:rsidRDefault="00D923CF" w:rsidP="00D923CF">
      <w:pPr>
        <w:spacing w:after="0" w:line="240" w:lineRule="auto"/>
        <w:jc w:val="right"/>
        <w:rPr>
          <w:rStyle w:val="a0"/>
          <w:rFonts w:ascii="Times New Roman" w:eastAsia="Times New Roman" w:hAnsi="Times New Roman"/>
          <w:sz w:val="24"/>
          <w:szCs w:val="24"/>
          <w:lang w:val="en-US"/>
        </w:rPr>
      </w:pPr>
    </w:p>
    <w:p w14:paraId="6D13B255" w14:textId="77777777" w:rsidR="00D923CF" w:rsidRDefault="00D923CF" w:rsidP="00D923CF">
      <w:pPr>
        <w:spacing w:after="0" w:line="240" w:lineRule="auto"/>
        <w:rPr>
          <w:rStyle w:val="a0"/>
          <w:rFonts w:ascii="Times New Roman" w:eastAsia="Times New Roman" w:hAnsi="Times New Roman"/>
          <w:sz w:val="28"/>
          <w:szCs w:val="28"/>
          <w:lang w:val="en-US"/>
        </w:rPr>
      </w:pPr>
      <w:r>
        <w:rPr>
          <w:rStyle w:val="Hyperlink1"/>
          <w:rFonts w:eastAsia="Aptos"/>
        </w:rPr>
        <w:t>Received: XX.XX.XXXX. Accepted: XX.XX.XXXX. Available online: XX.XX.XXXX.</w:t>
      </w:r>
    </w:p>
    <w:p w14:paraId="27AD4F2E" w14:textId="77777777" w:rsidR="00D923CF" w:rsidRDefault="00D923CF" w:rsidP="00D923CF">
      <w:pPr>
        <w:spacing w:after="0" w:line="240" w:lineRule="auto"/>
        <w:ind w:right="142"/>
        <w:jc w:val="both"/>
        <w:rPr>
          <w:rStyle w:val="a0"/>
          <w:rFonts w:ascii="Times New Roman" w:eastAsia="Times New Roman" w:hAnsi="Times New Roman"/>
          <w:kern w:val="0"/>
          <w:sz w:val="28"/>
          <w:szCs w:val="28"/>
          <w:lang w:val="en-US"/>
        </w:rPr>
      </w:pPr>
    </w:p>
    <w:p w14:paraId="3EC36B8E" w14:textId="77777777" w:rsidR="00D923CF" w:rsidRDefault="00D923CF" w:rsidP="00D923CF">
      <w:pPr>
        <w:spacing w:after="0" w:line="240" w:lineRule="auto"/>
        <w:ind w:right="142"/>
        <w:jc w:val="both"/>
        <w:rPr>
          <w:rStyle w:val="a0"/>
          <w:rFonts w:ascii="Times New Roman" w:eastAsia="Times New Roman" w:hAnsi="Times New Roman"/>
          <w:b/>
          <w:bCs/>
          <w:kern w:val="0"/>
          <w:sz w:val="24"/>
          <w:szCs w:val="24"/>
          <w:lang w:val="en-US"/>
        </w:rPr>
      </w:pPr>
      <w:r>
        <w:rPr>
          <w:rStyle w:val="a0"/>
          <w:rFonts w:ascii="Times New Roman" w:hAnsi="Times New Roman"/>
          <w:i/>
          <w:iCs/>
          <w:sz w:val="24"/>
          <w:szCs w:val="24"/>
          <w:lang w:val="en-US"/>
        </w:rPr>
        <w:t>*Corresponding author</w:t>
      </w:r>
    </w:p>
    <w:p w14:paraId="6A020A3D" w14:textId="77777777" w:rsidR="00D923CF" w:rsidRDefault="00D923CF" w:rsidP="00D923CF">
      <w:pPr>
        <w:spacing w:after="0" w:line="240" w:lineRule="auto"/>
        <w:jc w:val="both"/>
        <w:rPr>
          <w:rStyle w:val="a0"/>
          <w:rFonts w:ascii="Times New Roman" w:eastAsia="Times New Roman" w:hAnsi="Times New Roman"/>
          <w:sz w:val="28"/>
          <w:szCs w:val="28"/>
          <w:lang w:val="en-US"/>
        </w:rPr>
      </w:pPr>
    </w:p>
    <w:p w14:paraId="6B4FB653" w14:textId="77777777" w:rsidR="00D923CF" w:rsidRDefault="00D923CF" w:rsidP="00D923CF">
      <w:pPr>
        <w:spacing w:after="0" w:line="240" w:lineRule="auto"/>
        <w:ind w:firstLine="567"/>
        <w:jc w:val="both"/>
        <w:rPr>
          <w:rStyle w:val="a0"/>
          <w:rFonts w:ascii="Times New Roman" w:eastAsia="Times New Roman" w:hAnsi="Times New Roman"/>
          <w:b/>
          <w:bCs/>
          <w:kern w:val="0"/>
          <w:sz w:val="28"/>
          <w:szCs w:val="28"/>
          <w:lang w:val="en-US"/>
        </w:rPr>
      </w:pPr>
      <w:r>
        <w:rPr>
          <w:rStyle w:val="a0"/>
          <w:rFonts w:ascii="Times New Roman" w:hAnsi="Times New Roman"/>
          <w:b/>
          <w:bCs/>
          <w:kern w:val="0"/>
          <w:sz w:val="28"/>
          <w:szCs w:val="28"/>
          <w:lang w:val="en-US"/>
        </w:rPr>
        <w:lastRenderedPageBreak/>
        <w:t>Introduction</w:t>
      </w:r>
    </w:p>
    <w:p w14:paraId="6C128B21" w14:textId="77777777" w:rsidR="00D923CF" w:rsidRPr="00EF6D5D" w:rsidRDefault="00D923CF" w:rsidP="00D923CF">
      <w:pPr>
        <w:spacing w:after="0" w:line="240" w:lineRule="auto"/>
        <w:ind w:firstLine="567"/>
        <w:jc w:val="both"/>
        <w:rPr>
          <w:rStyle w:val="a0"/>
          <w:rFonts w:ascii="Times New Roman" w:eastAsia="Times New Roman" w:hAnsi="Times New Roman"/>
          <w:kern w:val="0"/>
          <w:sz w:val="28"/>
          <w:szCs w:val="28"/>
          <w:lang w:val="en-US"/>
        </w:rPr>
      </w:pPr>
    </w:p>
    <w:p w14:paraId="1E70704B" w14:textId="77777777" w:rsidR="00D923CF" w:rsidRPr="00EF6D5D" w:rsidRDefault="00D923CF" w:rsidP="00D923CF">
      <w:pPr>
        <w:spacing w:after="0" w:line="240" w:lineRule="auto"/>
        <w:ind w:firstLine="567"/>
        <w:jc w:val="both"/>
        <w:rPr>
          <w:rStyle w:val="a0"/>
          <w:rFonts w:ascii="Times New Roman" w:eastAsia="Times New Roman" w:hAnsi="Times New Roman"/>
          <w:b/>
          <w:bCs/>
          <w:kern w:val="0"/>
          <w:sz w:val="28"/>
          <w:szCs w:val="28"/>
          <w:lang w:val="en-US"/>
        </w:rPr>
      </w:pPr>
      <w:r>
        <w:rPr>
          <w:rStyle w:val="a0"/>
          <w:rFonts w:ascii="Times New Roman" w:hAnsi="Times New Roman"/>
          <w:kern w:val="0"/>
          <w:sz w:val="28"/>
          <w:szCs w:val="28"/>
          <w:lang w:val="en-US"/>
        </w:rPr>
        <w:t>Chickpea (</w:t>
      </w:r>
      <w:r>
        <w:rPr>
          <w:rStyle w:val="a0"/>
          <w:rFonts w:ascii="Times New Roman" w:hAnsi="Times New Roman"/>
          <w:i/>
          <w:iCs/>
          <w:kern w:val="0"/>
          <w:sz w:val="28"/>
          <w:szCs w:val="28"/>
          <w:lang w:val="en-US"/>
        </w:rPr>
        <w:t>Cicer arietinum</w:t>
      </w:r>
      <w:r>
        <w:rPr>
          <w:rStyle w:val="a0"/>
          <w:rFonts w:ascii="Times New Roman" w:hAnsi="Times New Roman"/>
          <w:kern w:val="0"/>
          <w:sz w:val="28"/>
          <w:szCs w:val="28"/>
          <w:lang w:val="en-US"/>
        </w:rPr>
        <w:t xml:space="preserve"> L.) is one of the most important grain legumes cultivated worldwide and represents a major source of plant protein for human nutrition [1]. The crop is widely grown in semi-arid and temperate regions of Asia, the Middle East, and Africa, and is increasingly grown in Europe and Central Asia [2]. By fixing atmospheric nitrogen and offering high nutritional value, chickpea is integral to sustainable agricultural systems and soil fertility management. [3]. However, the productivity of chickpea is strongly constrained by numerous fungal diseases affecting plants at different developmental stages [4-6].</w:t>
      </w:r>
    </w:p>
    <w:p w14:paraId="5A90B819" w14:textId="77777777" w:rsidR="00D923CF" w:rsidRPr="00EF6D5D" w:rsidRDefault="00D923CF" w:rsidP="00D923CF">
      <w:pPr>
        <w:spacing w:after="0" w:line="240" w:lineRule="auto"/>
        <w:ind w:firstLine="567"/>
        <w:jc w:val="both"/>
        <w:rPr>
          <w:rStyle w:val="a0"/>
          <w:rFonts w:ascii="Times New Roman" w:eastAsia="Times New Roman" w:hAnsi="Times New Roman"/>
          <w:b/>
          <w:bCs/>
          <w:kern w:val="0"/>
          <w:sz w:val="28"/>
          <w:szCs w:val="28"/>
          <w:lang w:val="en-US"/>
        </w:rPr>
      </w:pP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spp. are ubiquitous filamentous fungi widely distributed in soil, air, and plant debris [5-7]. Numerous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species opportunistically colonize agricultural commodities, </w:t>
      </w:r>
      <w:r w:rsidRPr="00EF6D5D">
        <w:rPr>
          <w:rStyle w:val="a0"/>
          <w:rFonts w:ascii="Times New Roman" w:hAnsi="Times New Roman"/>
          <w:kern w:val="0"/>
          <w:sz w:val="28"/>
          <w:szCs w:val="28"/>
          <w:lang w:val="en-US"/>
        </w:rPr>
        <w:t>particularly</w:t>
      </w:r>
      <w:r>
        <w:rPr>
          <w:rStyle w:val="a0"/>
          <w:rFonts w:ascii="Times New Roman" w:hAnsi="Times New Roman"/>
          <w:kern w:val="0"/>
          <w:sz w:val="28"/>
          <w:szCs w:val="28"/>
          <w:lang w:val="en-US"/>
        </w:rPr>
        <w:t xml:space="preserve"> when elevated temperature and humidity during storage promote fungal proliferation. In chickpea seeds,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species can develop under inadequate storage conditions, such as high moisture content, poor ventilation, or prolonged storage periods [8]. These fungi can rapidly colonize seed surfaces and internal tissues, leading to deterioration of seed quality, reduced germination capacity, and potential loss of market value [9].</w:t>
      </w:r>
    </w:p>
    <w:p w14:paraId="7CF38287" w14:textId="77777777" w:rsidR="00D923CF" w:rsidRDefault="00D923CF" w:rsidP="00D923CF">
      <w:pPr>
        <w:spacing w:after="0" w:line="240" w:lineRule="auto"/>
        <w:ind w:firstLine="567"/>
        <w:jc w:val="both"/>
        <w:rPr>
          <w:rStyle w:val="a0"/>
          <w:rFonts w:ascii="Times New Roman" w:eastAsia="Times New Roman" w:hAnsi="Times New Roman"/>
          <w:b/>
          <w:bCs/>
          <w:kern w:val="0"/>
          <w:sz w:val="28"/>
          <w:szCs w:val="28"/>
          <w:lang w:val="en-US"/>
        </w:rPr>
      </w:pPr>
      <w:r>
        <w:rPr>
          <w:rStyle w:val="a0"/>
          <w:rFonts w:ascii="Times New Roman" w:hAnsi="Times New Roman"/>
          <w:kern w:val="0"/>
          <w:sz w:val="28"/>
          <w:szCs w:val="28"/>
          <w:lang w:val="en-US"/>
        </w:rPr>
        <w:t xml:space="preserve">In addition to causing economic losses, contamination of food products by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spp. represents a potential risk to human health [10-14]. Some species in this genus produce mycotoxins, including aflatoxins and ochratoxins, which can accumulate in contaminated food products. Furthermore, Aspergillus spores and fungal metabolites may trigger allergic reactions in susceptible individuals. Exposure to fungal spores through inhalation or consumption of contaminated food may lead to hypersensitivity reactions, respiratory symptoms, or other allergic manifestations. These effects are associated with the presence of allergenic proteins and secondary metabolites produced by certain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species [15].</w:t>
      </w:r>
    </w:p>
    <w:p w14:paraId="24E36104" w14:textId="77777777" w:rsidR="00D923CF" w:rsidRDefault="00D923CF" w:rsidP="00D923CF">
      <w:pPr>
        <w:spacing w:after="0" w:line="240" w:lineRule="auto"/>
        <w:ind w:firstLine="567"/>
        <w:jc w:val="both"/>
        <w:rPr>
          <w:rStyle w:val="a0"/>
          <w:rFonts w:ascii="Times New Roman" w:eastAsia="Times New Roman" w:hAnsi="Times New Roman"/>
          <w:b/>
          <w:bCs/>
          <w:kern w:val="0"/>
          <w:sz w:val="28"/>
          <w:szCs w:val="28"/>
          <w:lang w:val="en-US"/>
        </w:rPr>
      </w:pPr>
      <w:r>
        <w:rPr>
          <w:rStyle w:val="a0"/>
          <w:rFonts w:ascii="Times New Roman" w:hAnsi="Times New Roman"/>
          <w:kern w:val="0"/>
          <w:sz w:val="28"/>
          <w:szCs w:val="28"/>
          <w:lang w:val="en-US"/>
        </w:rPr>
        <w:t xml:space="preserve">Because chickpea seeds are widely consumed and often stored for extended periods before processing or consumption, monitoring for fungal contamination is essential to ensure food safety and quality [16]. The identification of </w:t>
      </w:r>
      <w:r>
        <w:rPr>
          <w:rStyle w:val="a0"/>
          <w:rFonts w:ascii="Times New Roman" w:hAnsi="Times New Roman"/>
          <w:i/>
          <w:iCs/>
          <w:kern w:val="0"/>
          <w:sz w:val="28"/>
          <w:szCs w:val="28"/>
          <w:lang w:val="en-US"/>
        </w:rPr>
        <w:t xml:space="preserve">Aspergillus </w:t>
      </w:r>
      <w:r>
        <w:rPr>
          <w:rStyle w:val="a0"/>
          <w:rFonts w:ascii="Times New Roman" w:hAnsi="Times New Roman"/>
          <w:kern w:val="0"/>
          <w:sz w:val="28"/>
          <w:szCs w:val="28"/>
          <w:lang w:val="en-US"/>
        </w:rPr>
        <w:t>species associated with stored chickpea seeds is therefore important for understanding the sources of contamination and assessing potential risks for consumers [17]. Traditional morphological identification of fungi may be limited by similarities among species; therefore, molecular methods, such as PCR amplification and sequencing of ribosomal DNA regions, provide a reliable approach to accurate species identification [18].</w:t>
      </w:r>
    </w:p>
    <w:p w14:paraId="420DA68D" w14:textId="77777777" w:rsidR="00D923CF" w:rsidRDefault="00D923CF" w:rsidP="00D923CF">
      <w:pPr>
        <w:spacing w:after="0" w:line="240" w:lineRule="auto"/>
        <w:ind w:firstLine="567"/>
        <w:jc w:val="both"/>
        <w:rPr>
          <w:rStyle w:val="a0"/>
          <w:rFonts w:ascii="Times New Roman" w:eastAsia="Times New Roman" w:hAnsi="Times New Roman"/>
          <w:b/>
          <w:bCs/>
          <w:kern w:val="0"/>
          <w:sz w:val="28"/>
          <w:szCs w:val="28"/>
          <w:lang w:val="en-US"/>
        </w:rPr>
      </w:pPr>
      <w:r>
        <w:rPr>
          <w:rStyle w:val="a0"/>
          <w:rFonts w:ascii="Times New Roman" w:hAnsi="Times New Roman"/>
          <w:kern w:val="0"/>
          <w:sz w:val="28"/>
          <w:szCs w:val="28"/>
          <w:lang w:val="en-US"/>
        </w:rPr>
        <w:t xml:space="preserve">Despite the importance of chickpea production in many regions, information regarding the occurrence and molecular identification of storage fungi associated with chickpea seeds remains limited in several countries, including Kazakhstan. Therefore, studying the diversity of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species contaminating chickpea seeds is necessary to improve phytosanitary monitoring and to support the development of effective storage management strategies aimed at reducing fungal contamination and associated health risks [19, 20].</w:t>
      </w:r>
    </w:p>
    <w:p w14:paraId="20BB4FBC" w14:textId="77777777" w:rsidR="00D923CF" w:rsidRDefault="00D923CF" w:rsidP="00D923CF">
      <w:pPr>
        <w:spacing w:after="0" w:line="240" w:lineRule="auto"/>
        <w:ind w:right="142" w:firstLine="567"/>
        <w:jc w:val="both"/>
        <w:rPr>
          <w:rStyle w:val="a0"/>
          <w:rFonts w:ascii="Times New Roman" w:eastAsia="Times New Roman" w:hAnsi="Times New Roman"/>
          <w:b/>
          <w:bCs/>
          <w:kern w:val="0"/>
          <w:sz w:val="28"/>
          <w:szCs w:val="28"/>
          <w:lang w:val="en-US"/>
        </w:rPr>
      </w:pPr>
    </w:p>
    <w:p w14:paraId="4CEE90F9" w14:textId="77777777" w:rsidR="00D923CF" w:rsidRDefault="00D923CF" w:rsidP="00D923CF">
      <w:pPr>
        <w:spacing w:after="0" w:line="240" w:lineRule="auto"/>
        <w:ind w:right="142" w:firstLine="567"/>
        <w:jc w:val="both"/>
        <w:rPr>
          <w:rStyle w:val="a0"/>
          <w:rFonts w:ascii="Times New Roman" w:eastAsia="Times New Roman" w:hAnsi="Times New Roman"/>
          <w:b/>
          <w:bCs/>
          <w:kern w:val="0"/>
          <w:sz w:val="28"/>
          <w:szCs w:val="28"/>
          <w:lang w:val="en-US"/>
        </w:rPr>
      </w:pPr>
    </w:p>
    <w:p w14:paraId="773C8AB4" w14:textId="77777777" w:rsidR="00D923CF" w:rsidRDefault="00D923CF" w:rsidP="00D923CF">
      <w:pPr>
        <w:spacing w:after="0" w:line="240" w:lineRule="auto"/>
        <w:ind w:firstLine="567"/>
        <w:jc w:val="both"/>
        <w:rPr>
          <w:rStyle w:val="a0"/>
          <w:rFonts w:ascii="Times New Roman" w:eastAsia="Times New Roman" w:hAnsi="Times New Roman"/>
          <w:b/>
          <w:bCs/>
          <w:kern w:val="0"/>
          <w:sz w:val="28"/>
          <w:szCs w:val="28"/>
          <w:lang w:val="en-US"/>
        </w:rPr>
      </w:pPr>
      <w:r>
        <w:rPr>
          <w:rStyle w:val="a0"/>
          <w:rFonts w:ascii="Times New Roman" w:hAnsi="Times New Roman"/>
          <w:b/>
          <w:bCs/>
          <w:kern w:val="0"/>
          <w:sz w:val="28"/>
          <w:szCs w:val="28"/>
          <w:lang w:val="en-US"/>
        </w:rPr>
        <w:lastRenderedPageBreak/>
        <w:t>Materials and methods</w:t>
      </w:r>
    </w:p>
    <w:p w14:paraId="68A20AF5" w14:textId="77777777" w:rsidR="00D923CF" w:rsidRPr="00EF6D5D" w:rsidRDefault="00D923CF" w:rsidP="00D923CF">
      <w:pPr>
        <w:spacing w:after="0" w:line="240" w:lineRule="auto"/>
        <w:ind w:firstLine="567"/>
        <w:jc w:val="both"/>
        <w:rPr>
          <w:rStyle w:val="a0"/>
          <w:rFonts w:ascii="Times New Roman" w:eastAsia="Times New Roman" w:hAnsi="Times New Roman"/>
          <w:b/>
          <w:bCs/>
          <w:kern w:val="0"/>
          <w:sz w:val="28"/>
          <w:szCs w:val="28"/>
          <w:lang w:val="en-US"/>
        </w:rPr>
      </w:pPr>
    </w:p>
    <w:p w14:paraId="2B8B44AD" w14:textId="77777777" w:rsidR="00D923CF" w:rsidRDefault="00D923CF" w:rsidP="00D923CF">
      <w:pPr>
        <w:spacing w:after="0" w:line="240" w:lineRule="auto"/>
        <w:ind w:firstLine="567"/>
        <w:jc w:val="both"/>
        <w:rPr>
          <w:rStyle w:val="a0"/>
          <w:rFonts w:ascii="Times New Roman" w:eastAsia="Times New Roman" w:hAnsi="Times New Roman"/>
          <w:i/>
          <w:iCs/>
          <w:kern w:val="0"/>
          <w:sz w:val="28"/>
          <w:szCs w:val="28"/>
          <w:lang w:val="en-US"/>
        </w:rPr>
      </w:pPr>
      <w:r>
        <w:rPr>
          <w:rStyle w:val="a0"/>
          <w:rFonts w:ascii="Times New Roman" w:hAnsi="Times New Roman"/>
          <w:i/>
          <w:iCs/>
          <w:kern w:val="0"/>
          <w:sz w:val="28"/>
          <w:szCs w:val="28"/>
          <w:lang w:val="en-US"/>
        </w:rPr>
        <w:t>Sample collection</w:t>
      </w:r>
    </w:p>
    <w:p w14:paraId="18D67B5D" w14:textId="77777777" w:rsidR="00D923CF" w:rsidRDefault="00D923CF" w:rsidP="00D923CF">
      <w:pPr>
        <w:spacing w:after="0" w:line="240" w:lineRule="auto"/>
        <w:ind w:firstLine="567"/>
        <w:jc w:val="both"/>
        <w:rPr>
          <w:rStyle w:val="a0"/>
          <w:rFonts w:ascii="Times New Roman" w:eastAsia="Times New Roman" w:hAnsi="Times New Roman"/>
          <w:i/>
          <w:iCs/>
          <w:kern w:val="0"/>
          <w:sz w:val="28"/>
          <w:szCs w:val="28"/>
          <w:lang w:val="en-US"/>
        </w:rPr>
      </w:pPr>
      <w:r>
        <w:rPr>
          <w:rStyle w:val="a0"/>
          <w:rFonts w:ascii="Times New Roman" w:hAnsi="Times New Roman"/>
          <w:kern w:val="0"/>
          <w:sz w:val="28"/>
          <w:szCs w:val="28"/>
          <w:lang w:val="en-US"/>
        </w:rPr>
        <w:t>Chickpea (</w:t>
      </w:r>
      <w:r>
        <w:rPr>
          <w:rStyle w:val="a0"/>
          <w:rFonts w:ascii="Times New Roman" w:hAnsi="Times New Roman"/>
          <w:i/>
          <w:iCs/>
          <w:kern w:val="0"/>
          <w:sz w:val="28"/>
          <w:szCs w:val="28"/>
          <w:lang w:val="en-US"/>
        </w:rPr>
        <w:t>Cicer arietinum</w:t>
      </w:r>
      <w:r>
        <w:rPr>
          <w:rStyle w:val="a0"/>
          <w:rFonts w:ascii="Times New Roman" w:hAnsi="Times New Roman"/>
          <w:kern w:val="0"/>
          <w:sz w:val="28"/>
          <w:szCs w:val="28"/>
          <w:lang w:val="en-US"/>
        </w:rPr>
        <w:t xml:space="preserve"> L.) seed samples were collected from agricultural fields located in the Akmola region of Kazakhstan. The samples were provided by the A.I. Baraev Scientific Production Center for Grain Farming (Shortandy, Kazakhstan). In total, more than 200 chickpea seed samples were examined during the study period. Seeds were collected from different batches representing local agricultural production. All samples were placed in sterile containers, labeled, and transported to the laboratory for further mycological analysis.</w:t>
      </w:r>
    </w:p>
    <w:p w14:paraId="77476271" w14:textId="77777777" w:rsidR="00D923CF" w:rsidRPr="00EF6D5D"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Prior to microbiological analysis, seeds underwent visual inspection to detect overt fungal contamination and morphological anomalies. Individual seeds from each sample were selected randomly for further microscopic and molecular investigations.</w:t>
      </w:r>
    </w:p>
    <w:p w14:paraId="08988A15"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p>
    <w:p w14:paraId="5EF5F2DC" w14:textId="77777777" w:rsidR="00D923CF" w:rsidRDefault="00D923CF" w:rsidP="00D923CF">
      <w:pPr>
        <w:spacing w:after="0" w:line="240" w:lineRule="auto"/>
        <w:ind w:firstLine="567"/>
        <w:jc w:val="both"/>
        <w:rPr>
          <w:rStyle w:val="a0"/>
          <w:rFonts w:ascii="Times New Roman" w:eastAsia="Times New Roman" w:hAnsi="Times New Roman"/>
          <w:i/>
          <w:iCs/>
          <w:kern w:val="0"/>
          <w:sz w:val="28"/>
          <w:szCs w:val="28"/>
          <w:lang w:val="en-US"/>
        </w:rPr>
      </w:pPr>
      <w:r>
        <w:rPr>
          <w:rStyle w:val="a0"/>
          <w:rFonts w:ascii="Times New Roman" w:hAnsi="Times New Roman"/>
          <w:i/>
          <w:iCs/>
          <w:kern w:val="0"/>
          <w:sz w:val="28"/>
          <w:szCs w:val="28"/>
          <w:lang w:val="en-US"/>
        </w:rPr>
        <w:t>Microbiological analysis and microscopic examination</w:t>
      </w:r>
    </w:p>
    <w:p w14:paraId="1C72DAB5"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Chickpea seeds were subjected to microbiological analysis to isolate fungal contaminants. Individual seeds were placed on Petri dishes containing potato dextrose agar (PDA) medium and incubated at 25 ± 2 °C for 5–7 days. Emerging fungal colonies were monitored daily, and colonies with morphological characteristics were selected for further examination.</w:t>
      </w:r>
    </w:p>
    <w:p w14:paraId="7D3D2419"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For microscopic analysis, small fragments of fungal colonies were transferred onto microscope slides in a drop of sterile distilled water and covered with a coverslip. Microscopic observations were performed using a Zeiss Axio Scope light microscope (Carl Zeiss, Germany).</w:t>
      </w:r>
    </w:p>
    <w:p w14:paraId="2D9EC4D3"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p>
    <w:p w14:paraId="3EF1A227" w14:textId="77777777" w:rsidR="00D923CF" w:rsidRDefault="00D923CF" w:rsidP="00D923CF">
      <w:pPr>
        <w:spacing w:after="0" w:line="240" w:lineRule="auto"/>
        <w:ind w:firstLine="567"/>
        <w:jc w:val="both"/>
        <w:rPr>
          <w:rStyle w:val="a0"/>
          <w:rFonts w:ascii="Times New Roman" w:eastAsia="Times New Roman" w:hAnsi="Times New Roman"/>
          <w:i/>
          <w:iCs/>
          <w:kern w:val="0"/>
          <w:sz w:val="28"/>
          <w:szCs w:val="28"/>
          <w:lang w:val="en-US"/>
        </w:rPr>
      </w:pPr>
      <w:r>
        <w:rPr>
          <w:rStyle w:val="a0"/>
          <w:rFonts w:ascii="Times New Roman" w:hAnsi="Times New Roman"/>
          <w:i/>
          <w:iCs/>
          <w:kern w:val="0"/>
          <w:sz w:val="28"/>
          <w:szCs w:val="28"/>
          <w:lang w:val="en-US"/>
        </w:rPr>
        <w:t>DNA extraction and PCR amplification</w:t>
      </w:r>
    </w:p>
    <w:p w14:paraId="56E6814B"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 xml:space="preserve">Genomic DNA was extracted from </w:t>
      </w:r>
      <w:r w:rsidRPr="00EF6D5D">
        <w:rPr>
          <w:rStyle w:val="a0"/>
          <w:rFonts w:ascii="Times New Roman" w:hAnsi="Times New Roman"/>
          <w:kern w:val="0"/>
          <w:sz w:val="28"/>
          <w:szCs w:val="28"/>
          <w:highlight w:val="yellow"/>
          <w:lang w:val="en-US"/>
        </w:rPr>
        <w:t>the</w:t>
      </w:r>
      <w:r>
        <w:rPr>
          <w:rStyle w:val="a0"/>
          <w:rFonts w:ascii="Times New Roman" w:hAnsi="Times New Roman"/>
          <w:kern w:val="0"/>
          <w:sz w:val="28"/>
          <w:szCs w:val="28"/>
          <w:lang w:val="en-US"/>
        </w:rPr>
        <w:t xml:space="preserve"> fungal mycelium of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spp. grown on potato dextrose agar (PDA). A small fragment of fungal mycelium (approximately 0.5 × 0.5 cm) was transferred from the culture plate into a sterile mortar. Then, 300 μL of extraction buffer containing 2 M Tris–HCl (pH 8.0), 0.5 M EDTA, NaCl (3.27 g), and CTAB (0.8 g) was added together with Proteinase K. The mixture was thoroughly homogenized and incubated at 65 °C for 14–16 h. Genomic DNA was subsequently extracted using the standard phenol–chloroform purification method [21]. The quality and concentration of the isolated DNA were determined using a NanoDrop 2000 spectrophotometer (Thermo Fisher Scientific, USA).</w:t>
      </w:r>
    </w:p>
    <w:p w14:paraId="63FAECE4" w14:textId="77777777" w:rsidR="00D923CF" w:rsidRPr="00EF6D5D" w:rsidRDefault="00D923CF" w:rsidP="00D923CF">
      <w:pPr>
        <w:widowControl w:val="0"/>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 xml:space="preserve">For molecular identification of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spp., the internal transcribed spacer (</w:t>
      </w:r>
      <w:r>
        <w:rPr>
          <w:rStyle w:val="a0"/>
          <w:rFonts w:ascii="Times New Roman" w:hAnsi="Times New Roman"/>
          <w:i/>
          <w:iCs/>
          <w:kern w:val="0"/>
          <w:sz w:val="28"/>
          <w:szCs w:val="28"/>
          <w:lang w:val="en-US"/>
        </w:rPr>
        <w:t>ITS</w:t>
      </w:r>
      <w:r>
        <w:rPr>
          <w:rStyle w:val="a0"/>
          <w:rFonts w:ascii="Times New Roman" w:hAnsi="Times New Roman"/>
          <w:kern w:val="0"/>
          <w:sz w:val="28"/>
          <w:szCs w:val="28"/>
          <w:lang w:val="en-US"/>
        </w:rPr>
        <w:t>) region of ribosomal DNA was amplified using the universal fungal primers (</w:t>
      </w:r>
      <w:r>
        <w:rPr>
          <w:rStyle w:val="a0"/>
          <w:rFonts w:ascii="Times New Roman" w:hAnsi="Times New Roman"/>
          <w:i/>
          <w:iCs/>
          <w:kern w:val="0"/>
          <w:sz w:val="28"/>
          <w:szCs w:val="28"/>
          <w:lang w:val="en-US"/>
        </w:rPr>
        <w:t>ITS1</w:t>
      </w:r>
      <w:r>
        <w:rPr>
          <w:rStyle w:val="a0"/>
          <w:rFonts w:ascii="Times New Roman" w:hAnsi="Times New Roman"/>
          <w:kern w:val="0"/>
          <w:sz w:val="28"/>
          <w:szCs w:val="28"/>
          <w:lang w:val="en-US"/>
        </w:rPr>
        <w:t xml:space="preserve"> F: TCCGTAGGTGAACCTGCGG, </w:t>
      </w:r>
      <w:r>
        <w:rPr>
          <w:rStyle w:val="a0"/>
          <w:rFonts w:ascii="Times New Roman" w:hAnsi="Times New Roman"/>
          <w:i/>
          <w:iCs/>
          <w:kern w:val="0"/>
          <w:sz w:val="28"/>
          <w:szCs w:val="28"/>
          <w:lang w:val="en-US"/>
        </w:rPr>
        <w:t>ITS4</w:t>
      </w:r>
      <w:r>
        <w:rPr>
          <w:rStyle w:val="a0"/>
          <w:rFonts w:ascii="Times New Roman" w:hAnsi="Times New Roman"/>
          <w:kern w:val="0"/>
          <w:sz w:val="28"/>
          <w:szCs w:val="28"/>
          <w:lang w:val="en-US"/>
        </w:rPr>
        <w:t xml:space="preserve"> R: TCCTCCGCTTATTGATATGC) [22]. PCR reactions were performed in a total volume of 25 μL containing template DNA (50 ng/µL), PCR Mastermix 2x (Biolabmix, Russia) 12,5 µL, and nuclease-free water 8µL. PCR amplification was carried out in a thermal cycler under the following conditions: initial denaturation at 95 °C for 5 min; followed by 35 cycles of denaturation at 95 °C for 30 s, primer annealing at 55 °C for 30 s, and extension at 72 °C for 1 min; with a final extension step at 72 °C for 7 min. Amplified PCR products were separated by electrophoresis in 1.5% agarose gel stained with ethidium bromide </w:t>
      </w:r>
      <w:r>
        <w:rPr>
          <w:rStyle w:val="a0"/>
          <w:rFonts w:ascii="Times New Roman" w:hAnsi="Times New Roman"/>
          <w:kern w:val="0"/>
          <w:sz w:val="28"/>
          <w:szCs w:val="28"/>
          <w:lang w:val="en-US"/>
        </w:rPr>
        <w:lastRenderedPageBreak/>
        <w:t>and visualized under UV illumination.</w:t>
      </w:r>
    </w:p>
    <w:p w14:paraId="2C5ECE15"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p>
    <w:p w14:paraId="4C14BAA5" w14:textId="77777777" w:rsidR="00D923CF" w:rsidRDefault="00D923CF" w:rsidP="00D923CF">
      <w:pPr>
        <w:spacing w:after="0" w:line="240" w:lineRule="auto"/>
        <w:ind w:firstLine="567"/>
        <w:jc w:val="both"/>
        <w:rPr>
          <w:rStyle w:val="a0"/>
          <w:rFonts w:ascii="Times New Roman" w:eastAsia="Times New Roman" w:hAnsi="Times New Roman"/>
          <w:i/>
          <w:iCs/>
          <w:kern w:val="0"/>
          <w:sz w:val="28"/>
          <w:szCs w:val="28"/>
          <w:lang w:val="en-US"/>
        </w:rPr>
      </w:pPr>
      <w:r>
        <w:rPr>
          <w:rStyle w:val="a0"/>
          <w:rFonts w:ascii="Times New Roman" w:hAnsi="Times New Roman"/>
          <w:i/>
          <w:iCs/>
          <w:kern w:val="0"/>
          <w:sz w:val="28"/>
          <w:szCs w:val="28"/>
          <w:lang w:val="en-US"/>
        </w:rPr>
        <w:t>DNA sequencing and sequence analysis</w:t>
      </w:r>
    </w:p>
    <w:p w14:paraId="52491C90"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 xml:space="preserve">Successful PCR products were purified and subjected to Sanger sequencing. The obtained nucleotide sequences were edited and assembled using BioEdit software version 7.0.5. Sequence quality was manually inspected and trimmed where necessary. Species identification was performed by comparing the obtained sequences with reference sequences available in the NCBI GenBank database using the BLASTn algorithm. Identification of fungal isolates was based on the highest sequence similarity with previously deposited sequences of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spp.</w:t>
      </w:r>
    </w:p>
    <w:p w14:paraId="59D9AB3C"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p>
    <w:p w14:paraId="0E8AFE5B" w14:textId="77777777" w:rsidR="00D923CF" w:rsidRDefault="00D923CF" w:rsidP="00D923CF">
      <w:pPr>
        <w:spacing w:after="0" w:line="240" w:lineRule="auto"/>
        <w:ind w:firstLine="567"/>
        <w:jc w:val="both"/>
        <w:rPr>
          <w:rStyle w:val="a0"/>
          <w:rFonts w:ascii="Times New Roman" w:eastAsia="Times New Roman" w:hAnsi="Times New Roman"/>
          <w:i/>
          <w:iCs/>
          <w:kern w:val="0"/>
          <w:sz w:val="28"/>
          <w:szCs w:val="28"/>
          <w:lang w:val="en-US"/>
        </w:rPr>
      </w:pPr>
      <w:r>
        <w:rPr>
          <w:rStyle w:val="a0"/>
          <w:rFonts w:ascii="Times New Roman" w:hAnsi="Times New Roman"/>
          <w:i/>
          <w:iCs/>
          <w:kern w:val="0"/>
          <w:sz w:val="28"/>
          <w:szCs w:val="28"/>
          <w:lang w:val="en-US"/>
        </w:rPr>
        <w:t>Phylogenetic analysis</w:t>
      </w:r>
    </w:p>
    <w:p w14:paraId="054CAF92" w14:textId="77777777" w:rsidR="00D923CF" w:rsidRDefault="00D923CF" w:rsidP="00D923CF">
      <w:pPr>
        <w:spacing w:after="0" w:line="240" w:lineRule="auto"/>
        <w:ind w:firstLine="567"/>
        <w:jc w:val="both"/>
        <w:rPr>
          <w:rStyle w:val="a0"/>
          <w:rFonts w:ascii="Times New Roman" w:eastAsia="Times New Roman" w:hAnsi="Times New Roman"/>
          <w:i/>
          <w:iCs/>
          <w:kern w:val="0"/>
          <w:sz w:val="28"/>
          <w:szCs w:val="28"/>
          <w:lang w:val="en-US"/>
        </w:rPr>
      </w:pPr>
      <w:r>
        <w:rPr>
          <w:rStyle w:val="a0"/>
          <w:rFonts w:ascii="Times New Roman" w:hAnsi="Times New Roman"/>
          <w:kern w:val="0"/>
          <w:sz w:val="28"/>
          <w:szCs w:val="28"/>
          <w:lang w:val="en-US"/>
        </w:rPr>
        <w:t xml:space="preserve">To confirm the taxonomic placement of the obtained isolates, phylogenetic analysis was conducted. Multiple sequence alignment of </w:t>
      </w:r>
      <w:r>
        <w:rPr>
          <w:rStyle w:val="a0"/>
          <w:rFonts w:ascii="Times New Roman" w:hAnsi="Times New Roman"/>
          <w:i/>
          <w:iCs/>
          <w:kern w:val="0"/>
          <w:sz w:val="28"/>
          <w:szCs w:val="28"/>
          <w:lang w:val="en-US"/>
        </w:rPr>
        <w:t>ITS</w:t>
      </w:r>
      <w:r>
        <w:rPr>
          <w:rStyle w:val="a0"/>
          <w:rFonts w:ascii="Times New Roman" w:hAnsi="Times New Roman"/>
          <w:kern w:val="0"/>
          <w:sz w:val="28"/>
          <w:szCs w:val="28"/>
          <w:lang w:val="en-US"/>
        </w:rPr>
        <w:t xml:space="preserve"> sequences was performed using the ClustalW algorithm implemented in MEGA version 11 software. Reference sequences of related Aspergillus species retrieved from GenBank were included in the analysis. A phylogenetic tree was constructed using the Maximum Likelihood method to infer evolutionary relationships among the studied isolates and reference sequences [23]. The reliability of the phylogenetic tree topology was assessed by bootstrap analysis with 1000 replicates.</w:t>
      </w:r>
    </w:p>
    <w:p w14:paraId="69F82497" w14:textId="77777777" w:rsidR="00D923CF" w:rsidRDefault="00D923CF" w:rsidP="00D923CF">
      <w:pPr>
        <w:spacing w:after="0" w:line="240" w:lineRule="auto"/>
        <w:ind w:firstLine="567"/>
        <w:rPr>
          <w:rStyle w:val="a0"/>
          <w:rFonts w:ascii="Times New Roman" w:eastAsia="Times New Roman" w:hAnsi="Times New Roman"/>
          <w:sz w:val="28"/>
          <w:szCs w:val="28"/>
          <w:lang w:val="en-US"/>
        </w:rPr>
      </w:pPr>
    </w:p>
    <w:p w14:paraId="6FA0A9AB" w14:textId="77777777" w:rsidR="00D923CF" w:rsidRDefault="00D923CF" w:rsidP="00D923CF">
      <w:pPr>
        <w:spacing w:after="0" w:line="240" w:lineRule="auto"/>
        <w:ind w:firstLine="567"/>
        <w:jc w:val="both"/>
        <w:rPr>
          <w:rStyle w:val="a0"/>
          <w:rFonts w:ascii="Times New Roman" w:eastAsia="Times New Roman" w:hAnsi="Times New Roman"/>
          <w:b/>
          <w:bCs/>
          <w:kern w:val="0"/>
          <w:sz w:val="28"/>
          <w:szCs w:val="28"/>
          <w:lang w:val="en-US"/>
        </w:rPr>
      </w:pPr>
      <w:r>
        <w:rPr>
          <w:rStyle w:val="a0"/>
          <w:rFonts w:ascii="Times New Roman" w:hAnsi="Times New Roman"/>
          <w:b/>
          <w:bCs/>
          <w:kern w:val="0"/>
          <w:sz w:val="28"/>
          <w:szCs w:val="28"/>
          <w:lang w:val="en-US"/>
        </w:rPr>
        <w:t>Results</w:t>
      </w:r>
    </w:p>
    <w:p w14:paraId="0199E5C8" w14:textId="77777777" w:rsidR="00D923CF" w:rsidRPr="00EF6D5D" w:rsidRDefault="00D923CF" w:rsidP="00D923CF">
      <w:pPr>
        <w:spacing w:after="0" w:line="240" w:lineRule="auto"/>
        <w:ind w:firstLine="567"/>
        <w:jc w:val="both"/>
        <w:rPr>
          <w:rStyle w:val="a0"/>
          <w:rFonts w:ascii="Times New Roman" w:eastAsia="Times New Roman" w:hAnsi="Times New Roman"/>
          <w:b/>
          <w:bCs/>
          <w:kern w:val="0"/>
          <w:sz w:val="28"/>
          <w:szCs w:val="28"/>
          <w:lang w:val="en-US"/>
        </w:rPr>
      </w:pPr>
    </w:p>
    <w:p w14:paraId="0810E946" w14:textId="77777777" w:rsidR="00D923CF" w:rsidRPr="00EF6D5D"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 xml:space="preserve">Microbiological analysis of chickpea seeds resulted in the isolation of fungal colonies belonging to the genus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Fungal growth was observed on potato dextrose agar (PDA) after 5–7 days of incubation. Initial morphological and microscopic characterization tentatively placed the isolates within the genus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Subsequent molecular identification using ITS rDNA sequencing confirmed the presence of two species, </w:t>
      </w:r>
      <w:r>
        <w:rPr>
          <w:rStyle w:val="a0"/>
          <w:rFonts w:ascii="Times New Roman" w:hAnsi="Times New Roman"/>
          <w:i/>
          <w:iCs/>
          <w:kern w:val="0"/>
          <w:sz w:val="28"/>
          <w:szCs w:val="28"/>
          <w:lang w:val="en-US"/>
        </w:rPr>
        <w:t xml:space="preserve">Aspergillus niger </w:t>
      </w:r>
      <w:r>
        <w:rPr>
          <w:rStyle w:val="a0"/>
          <w:rFonts w:ascii="Times New Roman" w:hAnsi="Times New Roman"/>
          <w:kern w:val="0"/>
          <w:sz w:val="28"/>
          <w:szCs w:val="28"/>
          <w:lang w:val="en-US"/>
        </w:rPr>
        <w:t xml:space="preserve">and </w:t>
      </w:r>
      <w:r>
        <w:rPr>
          <w:rStyle w:val="a0"/>
          <w:rFonts w:ascii="Times New Roman" w:hAnsi="Times New Roman"/>
          <w:i/>
          <w:iCs/>
          <w:kern w:val="0"/>
          <w:sz w:val="28"/>
          <w:szCs w:val="28"/>
          <w:lang w:val="en-US"/>
        </w:rPr>
        <w:t>Aspergillus fumigatus</w:t>
      </w:r>
      <w:r>
        <w:rPr>
          <w:rStyle w:val="a0"/>
          <w:rFonts w:ascii="Times New Roman" w:hAnsi="Times New Roman"/>
          <w:kern w:val="0"/>
          <w:sz w:val="28"/>
          <w:szCs w:val="28"/>
          <w:lang w:val="en-US"/>
        </w:rPr>
        <w:t>, among the isolates obtained from chickpea seeds. The morphological characteristics of the colonies and microscopic structures of the identified species are presented in Figure 1, while the phylogenetic relationships inferred from ITS sequences are shown in Figure 2.</w:t>
      </w:r>
    </w:p>
    <w:p w14:paraId="0BD1DE14" w14:textId="77777777" w:rsidR="00D923CF" w:rsidRDefault="00D923CF" w:rsidP="00D923CF">
      <w:pPr>
        <w:spacing w:after="0" w:line="240" w:lineRule="auto"/>
        <w:ind w:right="142" w:firstLine="567"/>
        <w:jc w:val="center"/>
        <w:rPr>
          <w:rStyle w:val="a0"/>
          <w:rFonts w:ascii="Times New Roman" w:eastAsia="Times New Roman" w:hAnsi="Times New Roman"/>
          <w:kern w:val="0"/>
          <w:sz w:val="28"/>
          <w:szCs w:val="28"/>
        </w:rPr>
      </w:pPr>
      <w:r>
        <w:rPr>
          <w:rStyle w:val="a0"/>
          <w:rFonts w:ascii="Times New Roman" w:eastAsia="Times New Roman" w:hAnsi="Times New Roman"/>
          <w:noProof/>
          <w:kern w:val="0"/>
          <w:sz w:val="28"/>
          <w:szCs w:val="28"/>
        </w:rPr>
        <w:lastRenderedPageBreak/>
        <w:drawing>
          <wp:inline distT="0" distB="0" distL="0" distR="0" wp14:anchorId="3A0F1BF6" wp14:editId="70B08D8C">
            <wp:extent cx="4269850" cy="4449877"/>
            <wp:effectExtent l="0" t="0" r="0" b="0"/>
            <wp:docPr id="1073741830" name="officeArt object" descr="Рисунок 11"/>
            <wp:cNvGraphicFramePr/>
            <a:graphic xmlns:a="http://schemas.openxmlformats.org/drawingml/2006/main">
              <a:graphicData uri="http://schemas.openxmlformats.org/drawingml/2006/picture">
                <pic:pic xmlns:pic="http://schemas.openxmlformats.org/drawingml/2006/picture">
                  <pic:nvPicPr>
                    <pic:cNvPr id="1073741830" name="Рисунок 11" descr="Рисунок 11"/>
                    <pic:cNvPicPr>
                      <a:picLocks noChangeAspect="1"/>
                    </pic:cNvPicPr>
                  </pic:nvPicPr>
                  <pic:blipFill>
                    <a:blip r:embed="rId9"/>
                    <a:stretch>
                      <a:fillRect/>
                    </a:stretch>
                  </pic:blipFill>
                  <pic:spPr>
                    <a:xfrm>
                      <a:off x="0" y="0"/>
                      <a:ext cx="4269850" cy="4449877"/>
                    </a:xfrm>
                    <a:prstGeom prst="rect">
                      <a:avLst/>
                    </a:prstGeom>
                    <a:ln w="12700" cap="flat">
                      <a:noFill/>
                      <a:miter lim="400000"/>
                    </a:ln>
                    <a:effectLst/>
                  </pic:spPr>
                </pic:pic>
              </a:graphicData>
            </a:graphic>
          </wp:inline>
        </w:drawing>
      </w:r>
    </w:p>
    <w:p w14:paraId="0D41545D" w14:textId="77777777" w:rsidR="00D923CF" w:rsidRDefault="00D923CF" w:rsidP="00D923CF">
      <w:pPr>
        <w:spacing w:after="0" w:line="240" w:lineRule="auto"/>
        <w:ind w:right="142" w:firstLine="567"/>
        <w:jc w:val="both"/>
        <w:rPr>
          <w:rStyle w:val="a0"/>
          <w:rFonts w:ascii="Times New Roman" w:eastAsia="Times New Roman" w:hAnsi="Times New Roman"/>
          <w:b/>
          <w:bCs/>
          <w:kern w:val="0"/>
          <w:sz w:val="28"/>
          <w:szCs w:val="28"/>
        </w:rPr>
      </w:pPr>
    </w:p>
    <w:p w14:paraId="1E4E1A43" w14:textId="77777777" w:rsidR="00D923CF" w:rsidRPr="00EF6D5D"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b/>
          <w:bCs/>
          <w:kern w:val="0"/>
          <w:sz w:val="28"/>
          <w:szCs w:val="28"/>
          <w:lang w:val="en-US"/>
        </w:rPr>
        <w:t>Figure 1.</w:t>
      </w:r>
      <w:r>
        <w:rPr>
          <w:rStyle w:val="a0"/>
          <w:rFonts w:ascii="Times New Roman" w:hAnsi="Times New Roman"/>
          <w:kern w:val="0"/>
          <w:sz w:val="28"/>
          <w:szCs w:val="28"/>
          <w:lang w:val="en-US"/>
        </w:rPr>
        <w:t xml:space="preserve"> Cultural morphological characteristics of </w:t>
      </w:r>
      <w:r>
        <w:rPr>
          <w:rStyle w:val="a0"/>
          <w:rFonts w:ascii="Times New Roman" w:hAnsi="Times New Roman"/>
          <w:i/>
          <w:iCs/>
          <w:kern w:val="0"/>
          <w:sz w:val="28"/>
          <w:szCs w:val="28"/>
          <w:lang w:val="en-US"/>
        </w:rPr>
        <w:t>Aspergillus niger</w:t>
      </w:r>
      <w:r>
        <w:rPr>
          <w:rStyle w:val="a0"/>
          <w:rFonts w:ascii="Times New Roman" w:hAnsi="Times New Roman"/>
          <w:kern w:val="0"/>
          <w:sz w:val="28"/>
          <w:szCs w:val="28"/>
          <w:lang w:val="en-US"/>
        </w:rPr>
        <w:t xml:space="preserve"> 1A and 1B; </w:t>
      </w:r>
      <w:r>
        <w:rPr>
          <w:rStyle w:val="a0"/>
          <w:rFonts w:ascii="Times New Roman" w:hAnsi="Times New Roman"/>
          <w:i/>
          <w:iCs/>
          <w:kern w:val="0"/>
          <w:sz w:val="28"/>
          <w:szCs w:val="28"/>
          <w:lang w:val="en-US"/>
        </w:rPr>
        <w:t>Aspergillus fumigatus</w:t>
      </w:r>
      <w:r>
        <w:rPr>
          <w:rStyle w:val="a0"/>
          <w:rFonts w:ascii="Times New Roman" w:hAnsi="Times New Roman"/>
          <w:kern w:val="0"/>
          <w:sz w:val="28"/>
          <w:szCs w:val="28"/>
          <w:lang w:val="en-US"/>
        </w:rPr>
        <w:t xml:space="preserve"> 1</w:t>
      </w:r>
      <w:r>
        <w:rPr>
          <w:rStyle w:val="a0"/>
          <w:rFonts w:ascii="Times New Roman" w:hAnsi="Times New Roman"/>
          <w:kern w:val="0"/>
          <w:sz w:val="28"/>
          <w:szCs w:val="28"/>
        </w:rPr>
        <w:t>С</w:t>
      </w:r>
      <w:r>
        <w:rPr>
          <w:rStyle w:val="a0"/>
          <w:rFonts w:ascii="Times New Roman" w:hAnsi="Times New Roman"/>
          <w:kern w:val="0"/>
          <w:sz w:val="28"/>
          <w:szCs w:val="28"/>
          <w:lang w:val="en-US"/>
        </w:rPr>
        <w:t xml:space="preserve"> and 1D</w:t>
      </w:r>
    </w:p>
    <w:p w14:paraId="35524D73"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p>
    <w:p w14:paraId="31721373"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i/>
          <w:iCs/>
          <w:kern w:val="0"/>
          <w:sz w:val="28"/>
          <w:szCs w:val="28"/>
          <w:lang w:val="en-US"/>
        </w:rPr>
        <w:t>Aspergillus niger</w:t>
      </w:r>
      <w:r>
        <w:rPr>
          <w:rStyle w:val="a0"/>
          <w:rFonts w:ascii="Times New Roman" w:hAnsi="Times New Roman"/>
          <w:kern w:val="0"/>
          <w:sz w:val="28"/>
          <w:szCs w:val="28"/>
          <w:lang w:val="en-US"/>
        </w:rPr>
        <w:t xml:space="preserve"> colonies (Figure 1A and 1B) on PDA are characterized by rapid growth and intense sporulation. Initially, the mycelium is whitish, but as conidia form, the colony surface becomes dark brown or black. The colonies are dense, velvety-powdery, with a distinct radial structure and jagged edges. The colony diameter rapidly increases and can occupy a significant portion of the Petri dish. The colony reverse is usually light, yellowish-beige, or almost colorless.</w:t>
      </w:r>
    </w:p>
    <w:p w14:paraId="0060FCBC"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Microscopic examination reveals a well-developed, septate, hyaline mycelium. The conidiophores are long, smooth, and colorless, ending in a spherical vesicle. The vesicle is completely covered with metulae and phialides, forming a radial structure. The phialides produce long chains of darkly pigmented conidia, giving the conidial head its characteristic black color. The conidia are spherical, rough-surfaced, and collected in dense radial heads.</w:t>
      </w:r>
    </w:p>
    <w:p w14:paraId="23CC5AE1"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i/>
          <w:iCs/>
          <w:kern w:val="0"/>
          <w:sz w:val="28"/>
          <w:szCs w:val="28"/>
          <w:lang w:val="en-US"/>
        </w:rPr>
        <w:t>Aspergillus fumigatus</w:t>
      </w:r>
      <w:r>
        <w:rPr>
          <w:rStyle w:val="a0"/>
          <w:rFonts w:ascii="Times New Roman" w:hAnsi="Times New Roman"/>
          <w:kern w:val="0"/>
          <w:sz w:val="28"/>
          <w:szCs w:val="28"/>
          <w:lang w:val="en-US"/>
        </w:rPr>
        <w:t xml:space="preserve"> (Figure 1C and 1D) colonies on PDA medium are characterized by rapid growth and a velvety surface. Young colonies are initially whitish, later acquiring a characteristic gray-green or olive-green color as conidia form. The colony surface is dense, sometimes slightly folded, with jagged or slightly serrated edges. Colonies may form isolated areas of intense sporulation. The colony reverse is usually pale yellow or cream.</w:t>
      </w:r>
    </w:p>
    <w:p w14:paraId="71C729C3"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lastRenderedPageBreak/>
        <w:t>Microscopic examination reveals thin, septate mycelium and smooth conidiophores extending from the substrate mycelium. A club-shaped or slightly rounded vesicle form at the apex of the conidiophores. The phialides are arranged in a single row (uniserial) and cover only the upper portion of the vesicle. The conidial chains form a compact columnar head. The conidia are small, round, smooth or slightly rough, form long chains, and give the colonies their characteristic green color.</w:t>
      </w:r>
    </w:p>
    <w:p w14:paraId="009A2161"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 xml:space="preserve">The phylogenetic tree included the </w:t>
      </w:r>
      <w:r>
        <w:rPr>
          <w:rStyle w:val="a0"/>
          <w:rFonts w:ascii="Times New Roman" w:hAnsi="Times New Roman"/>
          <w:i/>
          <w:iCs/>
          <w:kern w:val="0"/>
          <w:sz w:val="28"/>
          <w:szCs w:val="28"/>
          <w:lang w:val="en-US"/>
        </w:rPr>
        <w:t>ITS</w:t>
      </w:r>
      <w:r>
        <w:rPr>
          <w:rStyle w:val="a0"/>
          <w:rFonts w:ascii="Times New Roman" w:hAnsi="Times New Roman"/>
          <w:kern w:val="0"/>
          <w:sz w:val="28"/>
          <w:szCs w:val="28"/>
          <w:lang w:val="en-US"/>
        </w:rPr>
        <w:t xml:space="preserve"> sequences obtained in this study together with reference sequences of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species retrieved from the GenBank database.</w:t>
      </w:r>
    </w:p>
    <w:p w14:paraId="33FF47F4"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p>
    <w:p w14:paraId="63781A94"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rPr>
      </w:pPr>
      <w:r>
        <w:rPr>
          <w:rStyle w:val="a0"/>
          <w:rFonts w:ascii="Times New Roman" w:eastAsia="Times New Roman" w:hAnsi="Times New Roman"/>
          <w:noProof/>
          <w:kern w:val="0"/>
          <w:sz w:val="28"/>
          <w:szCs w:val="28"/>
        </w:rPr>
        <w:drawing>
          <wp:inline distT="0" distB="0" distL="0" distR="0" wp14:anchorId="40332441" wp14:editId="050296C7">
            <wp:extent cx="5557837" cy="5100785"/>
            <wp:effectExtent l="0" t="0" r="0" b="0"/>
            <wp:docPr id="1073741831" name="officeArt object" descr="Рисунок 1"/>
            <wp:cNvGraphicFramePr/>
            <a:graphic xmlns:a="http://schemas.openxmlformats.org/drawingml/2006/main">
              <a:graphicData uri="http://schemas.openxmlformats.org/drawingml/2006/picture">
                <pic:pic xmlns:pic="http://schemas.openxmlformats.org/drawingml/2006/picture">
                  <pic:nvPicPr>
                    <pic:cNvPr id="1073741831" name="Рисунок 1" descr="Рисунок 1"/>
                    <pic:cNvPicPr>
                      <a:picLocks noChangeAspect="1"/>
                    </pic:cNvPicPr>
                  </pic:nvPicPr>
                  <pic:blipFill>
                    <a:blip r:embed="rId10"/>
                    <a:stretch>
                      <a:fillRect/>
                    </a:stretch>
                  </pic:blipFill>
                  <pic:spPr>
                    <a:xfrm>
                      <a:off x="0" y="0"/>
                      <a:ext cx="5557837" cy="5100785"/>
                    </a:xfrm>
                    <a:prstGeom prst="rect">
                      <a:avLst/>
                    </a:prstGeom>
                    <a:ln w="12700" cap="flat">
                      <a:noFill/>
                      <a:miter lim="400000"/>
                    </a:ln>
                    <a:effectLst/>
                  </pic:spPr>
                </pic:pic>
              </a:graphicData>
            </a:graphic>
          </wp:inline>
        </w:drawing>
      </w:r>
    </w:p>
    <w:p w14:paraId="11A09B4A" w14:textId="77777777" w:rsidR="00D923CF" w:rsidRDefault="00D923CF" w:rsidP="00D923CF">
      <w:pPr>
        <w:spacing w:after="0" w:line="240" w:lineRule="auto"/>
        <w:ind w:firstLine="567"/>
        <w:jc w:val="both"/>
        <w:rPr>
          <w:rStyle w:val="a0"/>
          <w:rFonts w:ascii="Times New Roman" w:eastAsia="Times New Roman" w:hAnsi="Times New Roman"/>
          <w:b/>
          <w:bCs/>
          <w:kern w:val="0"/>
          <w:sz w:val="28"/>
          <w:szCs w:val="28"/>
        </w:rPr>
      </w:pPr>
    </w:p>
    <w:p w14:paraId="597216E2"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b/>
          <w:bCs/>
          <w:kern w:val="0"/>
          <w:sz w:val="28"/>
          <w:szCs w:val="28"/>
          <w:lang w:val="en-US"/>
        </w:rPr>
        <w:t>Figure 2.</w:t>
      </w:r>
      <w:r>
        <w:rPr>
          <w:rStyle w:val="a0"/>
          <w:rFonts w:ascii="Times New Roman" w:hAnsi="Times New Roman"/>
          <w:kern w:val="0"/>
          <w:sz w:val="28"/>
          <w:szCs w:val="28"/>
          <w:lang w:val="en-US"/>
        </w:rPr>
        <w:t xml:space="preserve"> Maximum likelihood phylogenetic analysis of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species based on </w:t>
      </w:r>
      <w:r w:rsidRPr="00EF6D5D">
        <w:rPr>
          <w:rStyle w:val="a0"/>
          <w:rFonts w:ascii="Times New Roman" w:hAnsi="Times New Roman"/>
          <w:kern w:val="0"/>
          <w:sz w:val="28"/>
          <w:szCs w:val="28"/>
          <w:highlight w:val="yellow"/>
          <w:lang w:val="en-US"/>
        </w:rPr>
        <w:t>the</w:t>
      </w:r>
      <w:r>
        <w:rPr>
          <w:rStyle w:val="a0"/>
          <w:rFonts w:ascii="Times New Roman" w:hAnsi="Times New Roman"/>
          <w:kern w:val="0"/>
          <w:sz w:val="28"/>
          <w:szCs w:val="28"/>
          <w:lang w:val="en-US"/>
        </w:rPr>
        <w:t xml:space="preserve"> </w:t>
      </w:r>
      <w:r>
        <w:rPr>
          <w:rStyle w:val="a0"/>
          <w:rFonts w:ascii="Times New Roman" w:hAnsi="Times New Roman"/>
          <w:i/>
          <w:iCs/>
          <w:kern w:val="0"/>
          <w:sz w:val="28"/>
          <w:szCs w:val="28"/>
          <w:lang w:val="en-US"/>
        </w:rPr>
        <w:t>ITS</w:t>
      </w:r>
      <w:r>
        <w:rPr>
          <w:rStyle w:val="a0"/>
          <w:rFonts w:ascii="Times New Roman" w:hAnsi="Times New Roman"/>
          <w:kern w:val="0"/>
          <w:sz w:val="28"/>
          <w:szCs w:val="28"/>
          <w:lang w:val="en-US"/>
        </w:rPr>
        <w:t xml:space="preserve"> gene among the studied isolates and reference sequences</w:t>
      </w:r>
    </w:p>
    <w:p w14:paraId="08E4D45D"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p>
    <w:p w14:paraId="4DB3BBB7"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 xml:space="preserve">In the phylogenetic tree, isolates obtained in the present study are indicated by red circles and bold text. One isolate (PZ097651) clustered with reference sequences of </w:t>
      </w:r>
      <w:r>
        <w:rPr>
          <w:rStyle w:val="a0"/>
          <w:rFonts w:ascii="Times New Roman" w:hAnsi="Times New Roman"/>
          <w:i/>
          <w:iCs/>
          <w:kern w:val="0"/>
          <w:sz w:val="28"/>
          <w:szCs w:val="28"/>
          <w:lang w:val="en-US"/>
        </w:rPr>
        <w:t>A. fumigatus</w:t>
      </w:r>
      <w:r>
        <w:rPr>
          <w:rStyle w:val="a0"/>
          <w:rFonts w:ascii="Times New Roman" w:hAnsi="Times New Roman"/>
          <w:kern w:val="0"/>
          <w:sz w:val="28"/>
          <w:szCs w:val="28"/>
          <w:lang w:val="en-US"/>
        </w:rPr>
        <w:t xml:space="preserve"> (PX232454, MN588001, MZ452428, and KX090299), forming a clade corresponding to this species. Another isolate (PZ097652) grouped with reference sequences of </w:t>
      </w:r>
      <w:r>
        <w:rPr>
          <w:rStyle w:val="a0"/>
          <w:rFonts w:ascii="Times New Roman" w:hAnsi="Times New Roman"/>
          <w:i/>
          <w:iCs/>
          <w:kern w:val="0"/>
          <w:sz w:val="28"/>
          <w:szCs w:val="28"/>
          <w:lang w:val="en-US"/>
        </w:rPr>
        <w:t>A. niger</w:t>
      </w:r>
      <w:r>
        <w:rPr>
          <w:rStyle w:val="a0"/>
          <w:rFonts w:ascii="Times New Roman" w:hAnsi="Times New Roman"/>
          <w:kern w:val="0"/>
          <w:sz w:val="28"/>
          <w:szCs w:val="28"/>
          <w:lang w:val="en-US"/>
        </w:rPr>
        <w:t xml:space="preserve"> (KX664345 and PX658551), confirming its placement within the </w:t>
      </w:r>
      <w:r>
        <w:rPr>
          <w:rStyle w:val="a0"/>
          <w:rFonts w:ascii="Times New Roman" w:hAnsi="Times New Roman"/>
          <w:i/>
          <w:iCs/>
          <w:kern w:val="0"/>
          <w:sz w:val="28"/>
          <w:szCs w:val="28"/>
          <w:lang w:val="en-US"/>
        </w:rPr>
        <w:t>A. niger</w:t>
      </w:r>
      <w:r>
        <w:rPr>
          <w:rStyle w:val="a0"/>
          <w:rFonts w:ascii="Times New Roman" w:hAnsi="Times New Roman"/>
          <w:kern w:val="0"/>
          <w:sz w:val="28"/>
          <w:szCs w:val="28"/>
          <w:lang w:val="en-US"/>
        </w:rPr>
        <w:t xml:space="preserve"> lineage.</w:t>
      </w:r>
    </w:p>
    <w:p w14:paraId="033543B6"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lastRenderedPageBreak/>
        <w:t xml:space="preserve">Bootstrap values indicated moderate to strong support for several nodes within the tree. To root the phylogenetic tree, </w:t>
      </w:r>
      <w:r>
        <w:rPr>
          <w:rStyle w:val="a0"/>
          <w:rFonts w:ascii="Times New Roman" w:hAnsi="Times New Roman"/>
          <w:i/>
          <w:iCs/>
          <w:kern w:val="0"/>
          <w:sz w:val="28"/>
          <w:szCs w:val="28"/>
          <w:lang w:val="en-US"/>
        </w:rPr>
        <w:t>Cordyceps ningxiaensis</w:t>
      </w:r>
      <w:r>
        <w:rPr>
          <w:rStyle w:val="a0"/>
          <w:rFonts w:ascii="Times New Roman" w:hAnsi="Times New Roman"/>
          <w:kern w:val="0"/>
          <w:sz w:val="28"/>
          <w:szCs w:val="28"/>
          <w:lang w:val="en-US"/>
        </w:rPr>
        <w:t xml:space="preserve"> (KF309668) was used as an outgroup and is indicated by a blue triangle in the figure. The resulting topology clearly separated the analyzed isolates into distinct clades corresponding to recognized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species.</w:t>
      </w:r>
    </w:p>
    <w:p w14:paraId="2D7343A2" w14:textId="77777777" w:rsidR="00D923CF" w:rsidRPr="00EF6D5D" w:rsidRDefault="00D923CF" w:rsidP="00D923CF">
      <w:pPr>
        <w:spacing w:after="0" w:line="240" w:lineRule="auto"/>
        <w:ind w:firstLine="567"/>
        <w:jc w:val="both"/>
        <w:rPr>
          <w:rStyle w:val="a0"/>
          <w:rFonts w:ascii="Times New Roman" w:eastAsia="Times New Roman" w:hAnsi="Times New Roman"/>
          <w:kern w:val="0"/>
          <w:sz w:val="28"/>
          <w:szCs w:val="28"/>
          <w:lang w:val="en-US"/>
        </w:rPr>
      </w:pPr>
    </w:p>
    <w:p w14:paraId="39F65F44" w14:textId="77777777" w:rsidR="00D923CF" w:rsidRDefault="00D923CF" w:rsidP="00D923CF">
      <w:pPr>
        <w:spacing w:after="0" w:line="240" w:lineRule="auto"/>
        <w:ind w:firstLine="567"/>
        <w:jc w:val="both"/>
        <w:rPr>
          <w:rStyle w:val="a0"/>
          <w:rFonts w:ascii="Times New Roman" w:eastAsia="Times New Roman" w:hAnsi="Times New Roman"/>
          <w:b/>
          <w:bCs/>
          <w:kern w:val="0"/>
          <w:sz w:val="28"/>
          <w:szCs w:val="28"/>
          <w:lang w:val="en-US"/>
        </w:rPr>
      </w:pPr>
      <w:r>
        <w:rPr>
          <w:rStyle w:val="a0"/>
          <w:rFonts w:ascii="Times New Roman" w:hAnsi="Times New Roman"/>
          <w:b/>
          <w:bCs/>
          <w:kern w:val="0"/>
          <w:sz w:val="28"/>
          <w:szCs w:val="28"/>
          <w:lang w:val="en-US"/>
        </w:rPr>
        <w:t>Discussion</w:t>
      </w:r>
    </w:p>
    <w:p w14:paraId="3BB19423" w14:textId="77777777" w:rsidR="00D923CF" w:rsidRPr="00EF6D5D" w:rsidRDefault="00D923CF" w:rsidP="00D923CF">
      <w:pPr>
        <w:spacing w:after="0" w:line="240" w:lineRule="auto"/>
        <w:ind w:firstLine="567"/>
        <w:jc w:val="both"/>
        <w:rPr>
          <w:rStyle w:val="a0"/>
          <w:rFonts w:ascii="Times New Roman" w:eastAsia="Times New Roman" w:hAnsi="Times New Roman"/>
          <w:b/>
          <w:bCs/>
          <w:kern w:val="0"/>
          <w:sz w:val="28"/>
          <w:szCs w:val="28"/>
          <w:lang w:val="en-US"/>
        </w:rPr>
      </w:pPr>
    </w:p>
    <w:p w14:paraId="268CD3CA"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 xml:space="preserve">The phylogenetic analysis based on the </w:t>
      </w:r>
      <w:r>
        <w:rPr>
          <w:rStyle w:val="a0"/>
          <w:rFonts w:ascii="Times New Roman" w:hAnsi="Times New Roman"/>
          <w:i/>
          <w:iCs/>
          <w:kern w:val="0"/>
          <w:sz w:val="28"/>
          <w:szCs w:val="28"/>
          <w:lang w:val="en-US"/>
        </w:rPr>
        <w:t>ITS1</w:t>
      </w:r>
      <w:r>
        <w:rPr>
          <w:rStyle w:val="a0"/>
          <w:rFonts w:ascii="Times New Roman" w:hAnsi="Times New Roman"/>
          <w:kern w:val="0"/>
          <w:sz w:val="28"/>
          <w:szCs w:val="28"/>
          <w:lang w:val="en-US"/>
        </w:rPr>
        <w:t xml:space="preserve"> region confirmed that the fungal isolates obtained from chickpea seeds belong to the species </w:t>
      </w:r>
      <w:r>
        <w:rPr>
          <w:rStyle w:val="a0"/>
          <w:rFonts w:ascii="Times New Roman" w:hAnsi="Times New Roman"/>
          <w:i/>
          <w:iCs/>
          <w:kern w:val="0"/>
          <w:sz w:val="28"/>
          <w:szCs w:val="28"/>
          <w:lang w:val="en-US"/>
        </w:rPr>
        <w:t>Aspergillus fumigatus</w:t>
      </w:r>
      <w:r>
        <w:rPr>
          <w:rStyle w:val="a0"/>
          <w:rFonts w:ascii="Times New Roman" w:hAnsi="Times New Roman"/>
          <w:kern w:val="0"/>
          <w:sz w:val="28"/>
          <w:szCs w:val="28"/>
          <w:lang w:val="en-US"/>
        </w:rPr>
        <w:t xml:space="preserve"> and </w:t>
      </w:r>
      <w:r>
        <w:rPr>
          <w:rStyle w:val="a0"/>
          <w:rFonts w:ascii="Times New Roman" w:hAnsi="Times New Roman"/>
          <w:i/>
          <w:iCs/>
          <w:kern w:val="0"/>
          <w:sz w:val="28"/>
          <w:szCs w:val="28"/>
          <w:lang w:val="en-US"/>
        </w:rPr>
        <w:t>Aspergillus niger</w:t>
      </w:r>
      <w:r>
        <w:rPr>
          <w:rStyle w:val="a0"/>
          <w:rFonts w:ascii="Times New Roman" w:hAnsi="Times New Roman"/>
          <w:kern w:val="0"/>
          <w:sz w:val="28"/>
          <w:szCs w:val="28"/>
          <w:lang w:val="en-US"/>
        </w:rPr>
        <w:t>. Both species are widely distributed saprophytic fungi commonly associated with stored agricultural products and are frequently reported as storage contaminants of grains and legumes [24, 25].</w:t>
      </w:r>
    </w:p>
    <w:p w14:paraId="03A5B465" w14:textId="77777777" w:rsidR="00D923CF" w:rsidRPr="00EF6D5D"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 xml:space="preserve">Species of the genus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are well known for their ability to colonize seeds during post-harvest storage, particularly under conditions of elevated humidity and temperature [26]. Consequently, the isolation of </w:t>
      </w:r>
      <w:r>
        <w:rPr>
          <w:rStyle w:val="a0"/>
          <w:rFonts w:ascii="Times New Roman" w:hAnsi="Times New Roman"/>
          <w:i/>
          <w:iCs/>
          <w:kern w:val="0"/>
          <w:sz w:val="28"/>
          <w:szCs w:val="28"/>
          <w:lang w:val="en-US"/>
        </w:rPr>
        <w:t>A. niger</w:t>
      </w:r>
      <w:r>
        <w:rPr>
          <w:rStyle w:val="a0"/>
          <w:rFonts w:ascii="Times New Roman" w:hAnsi="Times New Roman"/>
          <w:kern w:val="0"/>
          <w:sz w:val="28"/>
          <w:szCs w:val="28"/>
          <w:lang w:val="en-US"/>
        </w:rPr>
        <w:t xml:space="preserve"> and </w:t>
      </w:r>
      <w:r>
        <w:rPr>
          <w:rStyle w:val="a0"/>
          <w:rFonts w:ascii="Times New Roman" w:hAnsi="Times New Roman"/>
          <w:i/>
          <w:iCs/>
          <w:kern w:val="0"/>
          <w:sz w:val="28"/>
          <w:szCs w:val="28"/>
          <w:lang w:val="en-US"/>
        </w:rPr>
        <w:t>A. fumigatus</w:t>
      </w:r>
      <w:r>
        <w:rPr>
          <w:rStyle w:val="a0"/>
          <w:rFonts w:ascii="Times New Roman" w:hAnsi="Times New Roman"/>
          <w:kern w:val="0"/>
          <w:sz w:val="28"/>
          <w:szCs w:val="28"/>
          <w:lang w:val="en-US"/>
        </w:rPr>
        <w:t xml:space="preserve"> from chickpea seeds indicates post-harvest fungal proliferation rather than active field infection. Similar findings have been reported in previous studies investigating fungal contamination of stored legumes and cereal grains [27, 28].</w:t>
      </w:r>
    </w:p>
    <w:p w14:paraId="0706292A" w14:textId="77777777" w:rsidR="00D923CF" w:rsidRPr="00EF6D5D"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 xml:space="preserve">The detection of these species in chickpea seeds is also important from a food safety perspective. Several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species are known to produce allergenic spores and secondary metabolites that may affect human health [29]. Consumption or inhalation of fungal spores may trigger allergic reactions or respiratory symptoms in susceptible individuals [30]. Beyond direct health implications, the contamination of chickpea batches by potential mycotoxin-producing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strains represents a significant economic barrier. </w:t>
      </w:r>
    </w:p>
    <w:p w14:paraId="1265D2A7" w14:textId="77777777" w:rsidR="00D923CF" w:rsidRPr="00EF6D5D"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 xml:space="preserve">As chickpea cultivation expands in Central Asia to meet growing global demand for plant-based proteins, adherence to strict international phytosanitary frameworks – such as the stringent mycotoxin limits enforced by the European Union – becomes paramount. Consequently, the identification of these specific storage pathogens is not merely a localized quality control issue, but a fundamental step in ensuring the export viability of regional agricultural commodities. Therefore, rigorous molecular monitoring of </w:t>
      </w:r>
      <w:r>
        <w:rPr>
          <w:rStyle w:val="a0"/>
          <w:rFonts w:ascii="Times New Roman" w:hAnsi="Times New Roman"/>
          <w:i/>
          <w:iCs/>
          <w:kern w:val="0"/>
          <w:sz w:val="28"/>
          <w:szCs w:val="28"/>
          <w:lang w:val="en-US"/>
        </w:rPr>
        <w:t>Aspergillus</w:t>
      </w:r>
      <w:r>
        <w:rPr>
          <w:rStyle w:val="a0"/>
          <w:rFonts w:ascii="Times New Roman" w:hAnsi="Times New Roman"/>
          <w:kern w:val="0"/>
          <w:sz w:val="28"/>
          <w:szCs w:val="28"/>
          <w:lang w:val="en-US"/>
        </w:rPr>
        <w:t xml:space="preserve"> species in stored legumes is essential for maintaining food safety and mitigating health risks. Moving forward, addressing this contamination requires a shift toward integrated, agroecological storage management. Rather than relying on chemical fungicidal treatments, which may compromise organic certification and consumer safety, strategies should prioritize holistic environmental control. Implementing advanced moisture monitoring, optimizing natural aeration systems to disrupt condensation cycles, and exploring the application of bio-based fungal inhibitors or antagonistic microbial agents offer promising, sustainable pathways to enhance the resilience and safety of stored chickpea crops.</w:t>
      </w:r>
    </w:p>
    <w:p w14:paraId="674F1274"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p>
    <w:p w14:paraId="5F83D869" w14:textId="77777777" w:rsidR="00D923CF" w:rsidRDefault="00D923CF" w:rsidP="00D923CF">
      <w:pPr>
        <w:spacing w:after="0" w:line="240" w:lineRule="auto"/>
        <w:ind w:right="142" w:firstLine="567"/>
        <w:jc w:val="both"/>
        <w:rPr>
          <w:rStyle w:val="a0"/>
          <w:rFonts w:ascii="Times New Roman" w:eastAsia="Times New Roman" w:hAnsi="Times New Roman"/>
          <w:kern w:val="0"/>
          <w:sz w:val="28"/>
          <w:szCs w:val="28"/>
          <w:lang w:val="en-US"/>
        </w:rPr>
      </w:pPr>
    </w:p>
    <w:p w14:paraId="6012200A" w14:textId="77777777" w:rsidR="00D923CF" w:rsidRDefault="00D923CF" w:rsidP="00D923CF">
      <w:pPr>
        <w:spacing w:after="0" w:line="240" w:lineRule="auto"/>
        <w:ind w:right="142" w:firstLine="709"/>
        <w:jc w:val="both"/>
        <w:rPr>
          <w:rStyle w:val="a0"/>
          <w:rFonts w:ascii="Times New Roman" w:eastAsia="Times New Roman" w:hAnsi="Times New Roman"/>
          <w:kern w:val="0"/>
          <w:sz w:val="28"/>
          <w:szCs w:val="28"/>
          <w:lang w:val="en-US"/>
        </w:rPr>
      </w:pPr>
      <w:r>
        <w:rPr>
          <w:rStyle w:val="a0"/>
          <w:rFonts w:ascii="Times New Roman" w:hAnsi="Times New Roman"/>
          <w:b/>
          <w:bCs/>
          <w:kern w:val="0"/>
          <w:sz w:val="28"/>
          <w:szCs w:val="28"/>
          <w:lang w:val="en-US"/>
        </w:rPr>
        <w:t>Author Contributions</w:t>
      </w:r>
      <w:r>
        <w:rPr>
          <w:rStyle w:val="a0"/>
          <w:rFonts w:ascii="Times New Roman" w:hAnsi="Times New Roman"/>
          <w:kern w:val="0"/>
          <w:sz w:val="28"/>
          <w:szCs w:val="28"/>
          <w:lang w:val="en-US"/>
        </w:rPr>
        <w:t xml:space="preserve"> </w:t>
      </w:r>
    </w:p>
    <w:p w14:paraId="32640F0D" w14:textId="77777777" w:rsidR="00D923CF" w:rsidRDefault="00D923CF" w:rsidP="00D923CF">
      <w:pPr>
        <w:spacing w:after="0" w:line="240" w:lineRule="auto"/>
        <w:ind w:right="142" w:firstLine="709"/>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lastRenderedPageBreak/>
        <w:t xml:space="preserve">K.D., R.U., V.K., A.S. - Conception and design; K.D., R.U., A.S. - Collection and assembly of data; K.D., R.U., A.S. - Data analysis and interpretation; K.D., R.U. - Manuscript writing; K.D., V.K. - Final approval of manuscript. </w:t>
      </w:r>
    </w:p>
    <w:p w14:paraId="43A24362" w14:textId="77777777" w:rsidR="00D923CF" w:rsidRDefault="00D923CF" w:rsidP="00D923CF">
      <w:pPr>
        <w:spacing w:after="0" w:line="240" w:lineRule="auto"/>
        <w:ind w:right="142" w:firstLine="709"/>
        <w:jc w:val="both"/>
        <w:rPr>
          <w:rStyle w:val="a0"/>
          <w:rFonts w:ascii="Times New Roman" w:eastAsia="Times New Roman" w:hAnsi="Times New Roman"/>
          <w:kern w:val="0"/>
          <w:sz w:val="28"/>
          <w:szCs w:val="28"/>
          <w:lang w:val="en-US"/>
        </w:rPr>
      </w:pPr>
    </w:p>
    <w:p w14:paraId="42FFE264" w14:textId="77777777" w:rsidR="00D923CF" w:rsidRDefault="00D923CF" w:rsidP="00D923CF">
      <w:pPr>
        <w:spacing w:after="0" w:line="240" w:lineRule="auto"/>
        <w:ind w:right="142" w:firstLine="709"/>
        <w:jc w:val="both"/>
        <w:rPr>
          <w:rStyle w:val="a0"/>
          <w:rFonts w:ascii="Times New Roman" w:eastAsia="Times New Roman" w:hAnsi="Times New Roman"/>
          <w:b/>
          <w:bCs/>
          <w:kern w:val="0"/>
          <w:sz w:val="28"/>
          <w:szCs w:val="28"/>
          <w:lang w:val="en-US"/>
        </w:rPr>
      </w:pPr>
      <w:r>
        <w:rPr>
          <w:rStyle w:val="a0"/>
          <w:rFonts w:ascii="Times New Roman" w:hAnsi="Times New Roman"/>
          <w:b/>
          <w:bCs/>
          <w:kern w:val="0"/>
          <w:sz w:val="28"/>
          <w:szCs w:val="28"/>
          <w:lang w:val="en-US"/>
        </w:rPr>
        <w:t>Funding</w:t>
      </w:r>
    </w:p>
    <w:p w14:paraId="6D9CDD5C" w14:textId="77777777" w:rsidR="00D923CF" w:rsidRDefault="00D923CF" w:rsidP="00D923CF">
      <w:pPr>
        <w:spacing w:after="0" w:line="240" w:lineRule="auto"/>
        <w:ind w:right="142" w:firstLine="709"/>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This work was financially supported by the Ministry of Science and Higher Education of the Republic of Kazakhstan (Grant No AP22787291).</w:t>
      </w:r>
    </w:p>
    <w:p w14:paraId="35E4F3C1" w14:textId="77777777" w:rsidR="00D923CF" w:rsidRDefault="00D923CF" w:rsidP="00D923CF">
      <w:pPr>
        <w:spacing w:after="0" w:line="240" w:lineRule="auto"/>
        <w:ind w:right="142" w:firstLine="567"/>
        <w:jc w:val="both"/>
        <w:rPr>
          <w:rStyle w:val="a0"/>
          <w:rFonts w:ascii="Times New Roman" w:eastAsia="Times New Roman" w:hAnsi="Times New Roman"/>
          <w:kern w:val="0"/>
          <w:sz w:val="28"/>
          <w:szCs w:val="28"/>
          <w:lang w:val="en-US"/>
        </w:rPr>
      </w:pPr>
    </w:p>
    <w:p w14:paraId="2B680B28" w14:textId="77777777" w:rsidR="00D923CF" w:rsidRDefault="00D923CF" w:rsidP="00D923CF">
      <w:pPr>
        <w:spacing w:after="0" w:line="240" w:lineRule="auto"/>
        <w:ind w:right="142" w:firstLine="567"/>
        <w:jc w:val="both"/>
        <w:rPr>
          <w:rStyle w:val="a0"/>
          <w:rFonts w:ascii="Times New Roman" w:eastAsia="Times New Roman" w:hAnsi="Times New Roman"/>
          <w:b/>
          <w:bCs/>
          <w:kern w:val="0"/>
          <w:sz w:val="28"/>
          <w:szCs w:val="28"/>
          <w:lang w:val="en-US"/>
        </w:rPr>
      </w:pPr>
      <w:r>
        <w:rPr>
          <w:rStyle w:val="a0"/>
          <w:rFonts w:ascii="Times New Roman" w:hAnsi="Times New Roman"/>
          <w:b/>
          <w:bCs/>
          <w:kern w:val="0"/>
          <w:sz w:val="28"/>
          <w:szCs w:val="28"/>
          <w:lang w:val="en-US"/>
        </w:rPr>
        <w:t>Conflicts of Interest</w:t>
      </w:r>
    </w:p>
    <w:p w14:paraId="5180C16A" w14:textId="77777777" w:rsidR="00D923CF" w:rsidRDefault="00D923CF" w:rsidP="00D923CF">
      <w:pPr>
        <w:spacing w:after="0" w:line="240" w:lineRule="auto"/>
        <w:ind w:right="142"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 xml:space="preserve">All authors have no conflict of interest to declare. </w:t>
      </w:r>
    </w:p>
    <w:p w14:paraId="5388EF13" w14:textId="77777777" w:rsidR="00D923CF" w:rsidRDefault="00D923CF" w:rsidP="00D923CF">
      <w:pPr>
        <w:spacing w:after="0" w:line="240" w:lineRule="auto"/>
        <w:ind w:right="142" w:firstLine="567"/>
        <w:jc w:val="both"/>
        <w:rPr>
          <w:rStyle w:val="a0"/>
          <w:rFonts w:ascii="Times New Roman" w:eastAsia="Times New Roman" w:hAnsi="Times New Roman"/>
          <w:kern w:val="0"/>
          <w:sz w:val="28"/>
          <w:szCs w:val="28"/>
          <w:lang w:val="en-US"/>
        </w:rPr>
      </w:pPr>
    </w:p>
    <w:p w14:paraId="47489780" w14:textId="77777777" w:rsidR="00D923CF" w:rsidRDefault="00D923CF" w:rsidP="00D923CF">
      <w:pPr>
        <w:spacing w:after="0" w:line="240" w:lineRule="auto"/>
        <w:ind w:right="142" w:firstLine="567"/>
        <w:jc w:val="both"/>
        <w:rPr>
          <w:rStyle w:val="a0"/>
          <w:rFonts w:ascii="Times New Roman" w:eastAsia="Times New Roman" w:hAnsi="Times New Roman"/>
          <w:b/>
          <w:bCs/>
          <w:kern w:val="0"/>
          <w:sz w:val="28"/>
          <w:szCs w:val="28"/>
          <w:lang w:val="en-US"/>
        </w:rPr>
      </w:pPr>
      <w:r>
        <w:rPr>
          <w:rStyle w:val="a0"/>
          <w:rFonts w:ascii="Times New Roman" w:hAnsi="Times New Roman"/>
          <w:b/>
          <w:bCs/>
          <w:kern w:val="0"/>
          <w:sz w:val="28"/>
          <w:szCs w:val="28"/>
          <w:lang w:val="en-US"/>
        </w:rPr>
        <w:t>Compliance with ethical standards</w:t>
      </w:r>
    </w:p>
    <w:p w14:paraId="46E8DD0C" w14:textId="77777777" w:rsidR="00D923CF" w:rsidRDefault="00D923CF" w:rsidP="00D923CF">
      <w:pPr>
        <w:spacing w:after="0" w:line="240" w:lineRule="auto"/>
        <w:ind w:right="142" w:firstLine="567"/>
        <w:jc w:val="both"/>
        <w:rPr>
          <w:rStyle w:val="a0"/>
          <w:rFonts w:ascii="Times New Roman" w:eastAsia="Times New Roman" w:hAnsi="Times New Roman"/>
          <w:kern w:val="0"/>
          <w:sz w:val="28"/>
          <w:szCs w:val="28"/>
          <w:lang w:val="en-US"/>
        </w:rPr>
      </w:pPr>
      <w:r>
        <w:rPr>
          <w:rStyle w:val="a0"/>
          <w:rFonts w:ascii="Times New Roman" w:hAnsi="Times New Roman"/>
          <w:kern w:val="0"/>
          <w:sz w:val="28"/>
          <w:szCs w:val="28"/>
          <w:lang w:val="en-US"/>
        </w:rPr>
        <w:t>The authors are accountable for all aspects of the work in ensuring that questions related to the accuracy or integrity of any part of the work are appropriately investigated and resolved.</w:t>
      </w:r>
    </w:p>
    <w:p w14:paraId="6E74DD23" w14:textId="77777777" w:rsidR="00D923CF" w:rsidRDefault="00D923CF" w:rsidP="00D923CF">
      <w:pPr>
        <w:spacing w:after="0" w:line="240" w:lineRule="auto"/>
        <w:ind w:right="142" w:firstLine="567"/>
        <w:jc w:val="both"/>
        <w:rPr>
          <w:rStyle w:val="a0"/>
          <w:rFonts w:ascii="Times New Roman" w:eastAsia="Times New Roman" w:hAnsi="Times New Roman"/>
          <w:kern w:val="0"/>
          <w:sz w:val="28"/>
          <w:szCs w:val="28"/>
          <w:lang w:val="en-US"/>
        </w:rPr>
      </w:pPr>
    </w:p>
    <w:p w14:paraId="1454885F" w14:textId="77777777" w:rsidR="00D923CF" w:rsidRDefault="00D923CF" w:rsidP="00D923CF">
      <w:pPr>
        <w:spacing w:after="0" w:line="240" w:lineRule="auto"/>
        <w:ind w:right="142" w:firstLine="567"/>
        <w:jc w:val="both"/>
        <w:rPr>
          <w:rStyle w:val="a0"/>
          <w:rFonts w:ascii="Times New Roman" w:eastAsia="Times New Roman" w:hAnsi="Times New Roman"/>
          <w:b/>
          <w:bCs/>
          <w:kern w:val="0"/>
          <w:sz w:val="28"/>
          <w:szCs w:val="28"/>
          <w:lang w:val="en-US"/>
        </w:rPr>
      </w:pPr>
      <w:r>
        <w:rPr>
          <w:rStyle w:val="a0"/>
          <w:rFonts w:ascii="Times New Roman" w:hAnsi="Times New Roman"/>
          <w:b/>
          <w:bCs/>
          <w:kern w:val="0"/>
          <w:sz w:val="28"/>
          <w:szCs w:val="28"/>
          <w:lang w:val="en-US"/>
        </w:rPr>
        <w:t>References:</w:t>
      </w:r>
    </w:p>
    <w:p w14:paraId="0A005358" w14:textId="77777777" w:rsidR="00D923CF" w:rsidRDefault="00D923CF" w:rsidP="00D923CF">
      <w:pPr>
        <w:spacing w:after="0" w:line="240" w:lineRule="auto"/>
        <w:ind w:right="142" w:firstLine="567"/>
        <w:jc w:val="both"/>
        <w:rPr>
          <w:rStyle w:val="a0"/>
          <w:rFonts w:ascii="Times New Roman" w:eastAsia="Times New Roman" w:hAnsi="Times New Roman"/>
          <w:b/>
          <w:bCs/>
          <w:kern w:val="0"/>
          <w:sz w:val="28"/>
          <w:szCs w:val="28"/>
        </w:rPr>
      </w:pPr>
    </w:p>
    <w:p w14:paraId="498A1E9A"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Sharma KK, Bhatnagar-Mathur P, Jayanand B. Chickpea (Cicer arietinum L.). </w:t>
      </w:r>
      <w:r>
        <w:rPr>
          <w:rStyle w:val="a0"/>
          <w:rFonts w:ascii="Times New Roman" w:hAnsi="Times New Roman"/>
          <w:i/>
          <w:iCs/>
          <w:kern w:val="0"/>
          <w:sz w:val="28"/>
          <w:szCs w:val="28"/>
        </w:rPr>
        <w:t>Methods Mol Biol</w:t>
      </w:r>
      <w:r>
        <w:rPr>
          <w:rStyle w:val="a0"/>
          <w:rFonts w:ascii="Times New Roman" w:hAnsi="Times New Roman"/>
          <w:kern w:val="0"/>
          <w:sz w:val="28"/>
          <w:szCs w:val="28"/>
          <w:lang w:val="en-US"/>
        </w:rPr>
        <w:t>,</w:t>
      </w:r>
      <w:r>
        <w:rPr>
          <w:rStyle w:val="a0"/>
          <w:rFonts w:ascii="Times New Roman" w:hAnsi="Times New Roman"/>
          <w:kern w:val="0"/>
          <w:sz w:val="28"/>
          <w:szCs w:val="28"/>
        </w:rPr>
        <w:t xml:space="preserve"> 2006</w:t>
      </w:r>
      <w:r>
        <w:rPr>
          <w:rStyle w:val="a0"/>
          <w:rFonts w:ascii="Times New Roman" w:hAnsi="Times New Roman"/>
          <w:kern w:val="0"/>
          <w:sz w:val="28"/>
          <w:szCs w:val="28"/>
          <w:lang w:val="en-US"/>
        </w:rPr>
        <w:t xml:space="preserve">, </w:t>
      </w:r>
      <w:r>
        <w:rPr>
          <w:rStyle w:val="a0"/>
          <w:rFonts w:ascii="Times New Roman" w:hAnsi="Times New Roman"/>
          <w:kern w:val="0"/>
          <w:sz w:val="28"/>
          <w:szCs w:val="28"/>
        </w:rPr>
        <w:t xml:space="preserve">343:313-323. </w:t>
      </w:r>
      <w:hyperlink r:id="rId11" w:history="1">
        <w:r>
          <w:rPr>
            <w:rStyle w:val="Hyperlink2"/>
            <w:rFonts w:ascii="Times New Roman" w:hAnsi="Times New Roman"/>
            <w:sz w:val="28"/>
            <w:szCs w:val="28"/>
          </w:rPr>
          <w:t>https://doi.org/10.1385/1-59745-130-4:313</w:t>
        </w:r>
      </w:hyperlink>
      <w:r>
        <w:rPr>
          <w:rStyle w:val="a0"/>
          <w:rFonts w:ascii="Times New Roman" w:hAnsi="Times New Roman"/>
          <w:kern w:val="0"/>
          <w:sz w:val="28"/>
          <w:szCs w:val="28"/>
        </w:rPr>
        <w:t xml:space="preserve"> </w:t>
      </w:r>
    </w:p>
    <w:p w14:paraId="52C4C64C"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Thakur R, Sharma S, Devi R et al. Exploring the molecular basis of resistance to Botrytis cinerea in chickpea genotypes through biochemical and morphological markers. </w:t>
      </w:r>
      <w:r>
        <w:rPr>
          <w:rStyle w:val="a0"/>
          <w:rFonts w:ascii="Times New Roman" w:hAnsi="Times New Roman"/>
          <w:i/>
          <w:iCs/>
          <w:kern w:val="0"/>
          <w:sz w:val="28"/>
          <w:szCs w:val="28"/>
          <w:lang w:val="en-US"/>
        </w:rPr>
        <w:t>PeerJ</w:t>
      </w:r>
      <w:r>
        <w:rPr>
          <w:rStyle w:val="a0"/>
          <w:rFonts w:ascii="Times New Roman" w:hAnsi="Times New Roman"/>
          <w:kern w:val="0"/>
          <w:sz w:val="28"/>
          <w:szCs w:val="28"/>
          <w:lang w:val="en-US"/>
        </w:rPr>
        <w:t xml:space="preserve">. 2023, 11, e15560. </w:t>
      </w:r>
      <w:hyperlink r:id="rId12" w:history="1">
        <w:r>
          <w:rPr>
            <w:rStyle w:val="Hyperlink3"/>
            <w:rFonts w:ascii="Times New Roman" w:hAnsi="Times New Roman"/>
            <w:sz w:val="28"/>
            <w:szCs w:val="28"/>
          </w:rPr>
          <w:t>https://doi.org/10.7717/peerj.15560</w:t>
        </w:r>
      </w:hyperlink>
    </w:p>
    <w:p w14:paraId="61F82EF8"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Thakur R, Devi R, Lal MK et al. Morphological, ultrastructural and molecular variations in susceptible and resistant genotypes of chickpea infected with Botrytis grey mould. </w:t>
      </w:r>
      <w:r w:rsidRPr="00EF6D5D">
        <w:rPr>
          <w:rStyle w:val="a0"/>
          <w:rFonts w:ascii="Times New Roman" w:hAnsi="Times New Roman"/>
          <w:i/>
          <w:iCs/>
          <w:kern w:val="0"/>
          <w:sz w:val="28"/>
          <w:szCs w:val="28"/>
          <w:lang w:val="en-US"/>
        </w:rPr>
        <w:t>PeerJ</w:t>
      </w:r>
      <w:r>
        <w:rPr>
          <w:rStyle w:val="a0"/>
          <w:rFonts w:ascii="Times New Roman" w:hAnsi="Times New Roman"/>
          <w:kern w:val="0"/>
          <w:sz w:val="28"/>
          <w:szCs w:val="28"/>
          <w:lang w:val="en-US"/>
        </w:rPr>
        <w:t>,</w:t>
      </w:r>
      <w:r w:rsidRPr="00EF6D5D">
        <w:rPr>
          <w:rStyle w:val="a0"/>
          <w:rFonts w:ascii="Times New Roman" w:hAnsi="Times New Roman"/>
          <w:kern w:val="0"/>
          <w:sz w:val="28"/>
          <w:szCs w:val="28"/>
          <w:lang w:val="en-US"/>
        </w:rPr>
        <w:t> </w:t>
      </w:r>
      <w:r>
        <w:rPr>
          <w:rStyle w:val="a0"/>
          <w:rFonts w:ascii="Times New Roman" w:hAnsi="Times New Roman"/>
          <w:kern w:val="0"/>
          <w:sz w:val="28"/>
          <w:szCs w:val="28"/>
          <w:lang w:val="en-US"/>
        </w:rPr>
        <w:t xml:space="preserve">2023, </w:t>
      </w:r>
      <w:r w:rsidRPr="00EF6D5D">
        <w:rPr>
          <w:rStyle w:val="a0"/>
          <w:rFonts w:ascii="Times New Roman" w:hAnsi="Times New Roman"/>
          <w:kern w:val="0"/>
          <w:sz w:val="28"/>
          <w:szCs w:val="28"/>
          <w:lang w:val="en-US"/>
        </w:rPr>
        <w:t xml:space="preserve">11, e15134. </w:t>
      </w:r>
      <w:hyperlink r:id="rId13" w:history="1">
        <w:r w:rsidRPr="00EF6D5D">
          <w:rPr>
            <w:rStyle w:val="Hyperlink4"/>
            <w:rFonts w:ascii="Times New Roman" w:hAnsi="Times New Roman"/>
            <w:sz w:val="28"/>
            <w:szCs w:val="28"/>
            <w:lang w:val="en-US"/>
          </w:rPr>
          <w:t>https://doi.org/10.7717/peerj.15134</w:t>
        </w:r>
      </w:hyperlink>
    </w:p>
    <w:p w14:paraId="092EC660"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Zhang J, Wang J, Zhu C et al. Chickpea: Its Origin, Distribution, Nutrition, Benefits, Breeding, and Symbiotic Relationship with Mesorhizobium Species. </w:t>
      </w:r>
      <w:r>
        <w:rPr>
          <w:rStyle w:val="a0"/>
          <w:rFonts w:ascii="Times New Roman" w:hAnsi="Times New Roman"/>
          <w:i/>
          <w:iCs/>
          <w:kern w:val="0"/>
          <w:sz w:val="28"/>
          <w:szCs w:val="28"/>
          <w:lang w:val="en-US"/>
        </w:rPr>
        <w:t>Plants,</w:t>
      </w:r>
      <w:r>
        <w:rPr>
          <w:rStyle w:val="a0"/>
          <w:rFonts w:ascii="Times New Roman" w:hAnsi="Times New Roman"/>
          <w:kern w:val="0"/>
          <w:sz w:val="28"/>
          <w:szCs w:val="28"/>
          <w:lang w:val="en-US"/>
        </w:rPr>
        <w:t xml:space="preserve"> 2024,13(3):429. </w:t>
      </w:r>
      <w:r>
        <w:rPr>
          <w:rStyle w:val="a1"/>
          <w:rFonts w:ascii="Times New Roman" w:hAnsi="Times New Roman"/>
          <w:kern w:val="0"/>
          <w:sz w:val="28"/>
          <w:szCs w:val="28"/>
          <w:lang w:val="en-US"/>
        </w:rPr>
        <w:t>doi:10.3390/plants13030429</w:t>
      </w:r>
    </w:p>
    <w:p w14:paraId="627D0207"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Merga B, &amp; Haji J. Economic importance of chickpea: Production, value, and world trade. </w:t>
      </w:r>
      <w:r>
        <w:rPr>
          <w:rStyle w:val="a0"/>
          <w:rFonts w:ascii="Times New Roman" w:hAnsi="Times New Roman"/>
          <w:i/>
          <w:iCs/>
          <w:kern w:val="0"/>
          <w:sz w:val="28"/>
          <w:szCs w:val="28"/>
          <w:lang w:val="en-US"/>
        </w:rPr>
        <w:t>Agriculture</w:t>
      </w:r>
      <w:r>
        <w:rPr>
          <w:rStyle w:val="a0"/>
          <w:rFonts w:ascii="Times New Roman" w:hAnsi="Times New Roman"/>
          <w:kern w:val="0"/>
          <w:sz w:val="28"/>
          <w:szCs w:val="28"/>
          <w:lang w:val="en-US"/>
        </w:rPr>
        <w:t xml:space="preserve">, 2019, 5(1). </w:t>
      </w:r>
      <w:hyperlink r:id="rId14" w:history="1">
        <w:r>
          <w:rPr>
            <w:rStyle w:val="Hyperlink3"/>
            <w:rFonts w:ascii="Times New Roman" w:hAnsi="Times New Roman"/>
            <w:sz w:val="28"/>
            <w:szCs w:val="28"/>
          </w:rPr>
          <w:t>https://doi.org/10.1080/23311932.2019.1615718</w:t>
        </w:r>
      </w:hyperlink>
    </w:p>
    <w:p w14:paraId="70C3A660"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Quaglia M, Tini F, Bajrami E et al. Occurrence of Aspergillus and Penicillium Species, Accumulation of Fungal Secondary Metabolites, and qPCR Detection of Potential Aflatoxigenic Aspergillus Species in Chickpea (Cicer arietinum L.) Seeds from Different Farming Systems. </w:t>
      </w:r>
      <w:r>
        <w:rPr>
          <w:rStyle w:val="a0"/>
          <w:rFonts w:ascii="Times New Roman" w:hAnsi="Times New Roman"/>
          <w:i/>
          <w:iCs/>
          <w:kern w:val="0"/>
          <w:sz w:val="28"/>
          <w:szCs w:val="28"/>
          <w:lang w:val="en-US"/>
        </w:rPr>
        <w:t>Foods</w:t>
      </w:r>
      <w:r>
        <w:rPr>
          <w:rStyle w:val="a0"/>
          <w:rFonts w:ascii="Times New Roman" w:hAnsi="Times New Roman"/>
          <w:kern w:val="0"/>
          <w:sz w:val="28"/>
          <w:szCs w:val="28"/>
          <w:lang w:val="en-US"/>
        </w:rPr>
        <w:t xml:space="preserve">, 2025, 14(15), 2610. </w:t>
      </w:r>
      <w:hyperlink r:id="rId15" w:history="1">
        <w:r>
          <w:rPr>
            <w:rStyle w:val="Hyperlink5"/>
            <w:rFonts w:ascii="Times New Roman" w:hAnsi="Times New Roman"/>
            <w:sz w:val="28"/>
            <w:szCs w:val="28"/>
          </w:rPr>
          <w:t>https://doi.org/10.3390/foods14152610</w:t>
        </w:r>
      </w:hyperlink>
    </w:p>
    <w:p w14:paraId="1CD296EE"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Sharma AK, Kumar A &amp; Rijal R. Phylogenetic studies and distinction of aflatoxin-producing Aspergillus species in section Flavi, Ochraceorosei and Nidulantes: A review. </w:t>
      </w:r>
      <w:r>
        <w:rPr>
          <w:rStyle w:val="a0"/>
          <w:rFonts w:ascii="Times New Roman" w:hAnsi="Times New Roman"/>
          <w:i/>
          <w:iCs/>
          <w:kern w:val="0"/>
          <w:sz w:val="28"/>
          <w:szCs w:val="28"/>
          <w:lang w:val="en-US"/>
        </w:rPr>
        <w:t>Gene</w:t>
      </w:r>
      <w:r>
        <w:rPr>
          <w:rStyle w:val="a0"/>
          <w:rFonts w:ascii="Times New Roman" w:hAnsi="Times New Roman"/>
          <w:kern w:val="0"/>
          <w:sz w:val="28"/>
          <w:szCs w:val="28"/>
          <w:lang w:val="en-US"/>
        </w:rPr>
        <w:t xml:space="preserve">, 2025, </w:t>
      </w:r>
      <w:r>
        <w:rPr>
          <w:rStyle w:val="a0"/>
          <w:rFonts w:ascii="Times New Roman" w:hAnsi="Times New Roman"/>
          <w:i/>
          <w:iCs/>
          <w:kern w:val="0"/>
          <w:sz w:val="28"/>
          <w:szCs w:val="28"/>
          <w:lang w:val="en-US"/>
        </w:rPr>
        <w:t>937</w:t>
      </w:r>
      <w:r>
        <w:rPr>
          <w:rStyle w:val="a0"/>
          <w:rFonts w:ascii="Times New Roman" w:hAnsi="Times New Roman"/>
          <w:kern w:val="0"/>
          <w:sz w:val="28"/>
          <w:szCs w:val="28"/>
          <w:lang w:val="en-US"/>
        </w:rPr>
        <w:t xml:space="preserve">, 149151. </w:t>
      </w:r>
      <w:hyperlink r:id="rId16" w:history="1">
        <w:r>
          <w:rPr>
            <w:rStyle w:val="Hyperlink5"/>
            <w:rFonts w:ascii="Times New Roman" w:hAnsi="Times New Roman"/>
            <w:sz w:val="28"/>
            <w:szCs w:val="28"/>
          </w:rPr>
          <w:t>https://doi.org/10.1016/j.gene.2024.149151</w:t>
        </w:r>
      </w:hyperlink>
      <w:r>
        <w:rPr>
          <w:rStyle w:val="a0"/>
          <w:rFonts w:ascii="Times New Roman" w:hAnsi="Times New Roman"/>
          <w:kern w:val="0"/>
          <w:sz w:val="28"/>
          <w:szCs w:val="28"/>
          <w:lang w:val="en-US"/>
        </w:rPr>
        <w:t xml:space="preserve"> </w:t>
      </w:r>
    </w:p>
    <w:p w14:paraId="55F4EB12"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lastRenderedPageBreak/>
        <w:t xml:space="preserve">Ramirez ML, Candoya E, Nichea MJ et al. Impact of toxigenic fungi and mycotoxins in chickpea: A review. </w:t>
      </w:r>
      <w:r>
        <w:rPr>
          <w:rStyle w:val="a0"/>
          <w:rFonts w:ascii="Times New Roman" w:hAnsi="Times New Roman"/>
          <w:i/>
          <w:iCs/>
          <w:kern w:val="0"/>
          <w:sz w:val="28"/>
          <w:szCs w:val="28"/>
          <w:lang w:val="en-US"/>
        </w:rPr>
        <w:t>Curr Opin Food Sci,</w:t>
      </w:r>
      <w:r>
        <w:rPr>
          <w:rStyle w:val="a0"/>
          <w:rFonts w:ascii="Times New Roman" w:hAnsi="Times New Roman"/>
          <w:kern w:val="0"/>
          <w:sz w:val="28"/>
          <w:szCs w:val="28"/>
          <w:lang w:val="en-US"/>
        </w:rPr>
        <w:t xml:space="preserve"> 2018, 23:32–37. </w:t>
      </w:r>
      <w:hyperlink r:id="rId17" w:history="1">
        <w:r>
          <w:rPr>
            <w:rStyle w:val="Hyperlink6"/>
            <w:rFonts w:ascii="Times New Roman" w:hAnsi="Times New Roman"/>
            <w:sz w:val="28"/>
            <w:szCs w:val="28"/>
          </w:rPr>
          <w:t>https://doi.org/10.1016/j.cofs.2018.05.003</w:t>
        </w:r>
      </w:hyperlink>
      <w:r>
        <w:rPr>
          <w:rStyle w:val="a0"/>
          <w:rFonts w:ascii="Times New Roman" w:hAnsi="Times New Roman"/>
          <w:kern w:val="0"/>
          <w:sz w:val="28"/>
          <w:szCs w:val="28"/>
          <w:lang w:val="en-US"/>
        </w:rPr>
        <w:t xml:space="preserve"> </w:t>
      </w:r>
    </w:p>
    <w:p w14:paraId="2FEAFDBD"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Shamsi S &amp; Khatun A. Prevalence of fungi in different varieties of chickpea (Cicer arietinum L.) seeds in storage. </w:t>
      </w:r>
      <w:r>
        <w:rPr>
          <w:rStyle w:val="a0"/>
          <w:rFonts w:ascii="Times New Roman" w:hAnsi="Times New Roman"/>
          <w:i/>
          <w:iCs/>
          <w:kern w:val="0"/>
          <w:sz w:val="28"/>
          <w:szCs w:val="28"/>
          <w:lang w:val="en-US"/>
        </w:rPr>
        <w:t>J Bangladesh Acad Sci</w:t>
      </w:r>
      <w:r>
        <w:rPr>
          <w:rStyle w:val="a0"/>
          <w:rFonts w:ascii="Times New Roman" w:hAnsi="Times New Roman"/>
          <w:kern w:val="0"/>
          <w:sz w:val="28"/>
          <w:szCs w:val="28"/>
          <w:lang w:val="en-US"/>
        </w:rPr>
        <w:t xml:space="preserve">, 2016, 40:37–44. </w:t>
      </w:r>
      <w:hyperlink r:id="rId18" w:history="1">
        <w:r>
          <w:rPr>
            <w:rStyle w:val="Hyperlink6"/>
            <w:rFonts w:ascii="Times New Roman" w:hAnsi="Times New Roman"/>
            <w:sz w:val="28"/>
            <w:szCs w:val="28"/>
          </w:rPr>
          <w:t>https://doi.org/10.3329/jbas.v40i1.28323</w:t>
        </w:r>
      </w:hyperlink>
    </w:p>
    <w:p w14:paraId="6514FA39"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Cota-Barreras CI, García-Estrada RS, León-Félix J et al. Phylogeny, distribution, and pathogenicity of fusarioid fungi associated with chickpea wilt in Sinaloa and Sonora, Mexico. </w:t>
      </w:r>
      <w:r>
        <w:rPr>
          <w:rStyle w:val="a0"/>
          <w:rFonts w:ascii="Times New Roman" w:hAnsi="Times New Roman"/>
          <w:i/>
          <w:iCs/>
          <w:kern w:val="0"/>
          <w:sz w:val="28"/>
          <w:szCs w:val="28"/>
          <w:lang w:val="en-US"/>
        </w:rPr>
        <w:t xml:space="preserve">Trop Plant Pathol, </w:t>
      </w:r>
      <w:r>
        <w:rPr>
          <w:rStyle w:val="a0"/>
          <w:rFonts w:ascii="Times New Roman" w:hAnsi="Times New Roman"/>
          <w:kern w:val="0"/>
          <w:sz w:val="28"/>
          <w:szCs w:val="28"/>
          <w:lang w:val="en-US"/>
        </w:rPr>
        <w:t xml:space="preserve">2024, 49, 622–632. </w:t>
      </w:r>
      <w:hyperlink r:id="rId19" w:history="1">
        <w:r>
          <w:rPr>
            <w:rStyle w:val="Hyperlink7"/>
            <w:rFonts w:ascii="Times New Roman" w:hAnsi="Times New Roman"/>
          </w:rPr>
          <w:t>https://doi.org/10.1007/s40858-024-00663-3</w:t>
        </w:r>
      </w:hyperlink>
      <w:r>
        <w:rPr>
          <w:rStyle w:val="a0"/>
          <w:rFonts w:ascii="Times New Roman" w:hAnsi="Times New Roman"/>
          <w:kern w:val="0"/>
          <w:sz w:val="28"/>
          <w:szCs w:val="28"/>
          <w:lang w:val="en-US"/>
        </w:rPr>
        <w:t xml:space="preserve"> </w:t>
      </w:r>
    </w:p>
    <w:p w14:paraId="70D0503E"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Alemayehu S, Abera FA, Aymut KM et al. Fungal infection and mycotoxins contamination on farm-stored chickpea in major producing districts of Ethiopia. </w:t>
      </w:r>
      <w:r>
        <w:rPr>
          <w:rStyle w:val="a0"/>
          <w:rFonts w:ascii="Times New Roman" w:hAnsi="Times New Roman"/>
          <w:i/>
          <w:iCs/>
          <w:kern w:val="0"/>
          <w:sz w:val="28"/>
          <w:szCs w:val="28"/>
          <w:lang w:val="en-US"/>
        </w:rPr>
        <w:t>J Biomed Res Environ Sci</w:t>
      </w:r>
      <w:r>
        <w:rPr>
          <w:rStyle w:val="a0"/>
          <w:rFonts w:ascii="Times New Roman" w:hAnsi="Times New Roman"/>
          <w:kern w:val="0"/>
          <w:sz w:val="28"/>
          <w:szCs w:val="28"/>
          <w:lang w:val="en-US"/>
        </w:rPr>
        <w:t xml:space="preserve">, 2023, 4:413–425. </w:t>
      </w:r>
      <w:hyperlink r:id="rId20" w:history="1">
        <w:r>
          <w:rPr>
            <w:rStyle w:val="Hyperlink6"/>
            <w:rFonts w:ascii="Times New Roman" w:hAnsi="Times New Roman"/>
            <w:sz w:val="28"/>
            <w:szCs w:val="28"/>
          </w:rPr>
          <w:t>https://doi.org/10.37871/jbres1690</w:t>
        </w:r>
      </w:hyperlink>
      <w:r>
        <w:rPr>
          <w:rStyle w:val="a0"/>
          <w:rFonts w:ascii="Times New Roman" w:hAnsi="Times New Roman"/>
          <w:kern w:val="0"/>
          <w:sz w:val="28"/>
          <w:szCs w:val="28"/>
          <w:lang w:val="en-US"/>
        </w:rPr>
        <w:t xml:space="preserve">  </w:t>
      </w:r>
    </w:p>
    <w:p w14:paraId="02A35E2D"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Romero Donato CJ, Nichea MJ, Cendoya E et al. Interacting abiotic factors affect growth and mycotoxin production profiles of Alternaria section Alternaria strains on chickpea-based media. </w:t>
      </w:r>
      <w:r>
        <w:rPr>
          <w:rStyle w:val="a0"/>
          <w:rFonts w:ascii="Times New Roman" w:hAnsi="Times New Roman"/>
          <w:i/>
          <w:iCs/>
          <w:kern w:val="0"/>
          <w:sz w:val="28"/>
          <w:szCs w:val="28"/>
          <w:lang w:val="en-US"/>
        </w:rPr>
        <w:t>Pathogens</w:t>
      </w:r>
      <w:r>
        <w:rPr>
          <w:rStyle w:val="a0"/>
          <w:rFonts w:ascii="Times New Roman" w:hAnsi="Times New Roman"/>
          <w:kern w:val="0"/>
          <w:sz w:val="28"/>
          <w:szCs w:val="28"/>
          <w:lang w:val="en-US"/>
        </w:rPr>
        <w:t xml:space="preserve">, 2023, 12:565. </w:t>
      </w:r>
      <w:hyperlink r:id="rId21" w:history="1">
        <w:r>
          <w:rPr>
            <w:rStyle w:val="Hyperlink6"/>
            <w:rFonts w:ascii="Times New Roman" w:hAnsi="Times New Roman"/>
            <w:sz w:val="28"/>
            <w:szCs w:val="28"/>
          </w:rPr>
          <w:t>https://doi.org/10.3390/pathogens12040565</w:t>
        </w:r>
      </w:hyperlink>
    </w:p>
    <w:p w14:paraId="50609D5E"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Pallavi S, Achyut B, Soni M et al. Morphological and Molecular Characterization of Aflatoxin Producing Strains of Aspergillus spp. in Groundnut from India. </w:t>
      </w:r>
      <w:r>
        <w:rPr>
          <w:rStyle w:val="a0"/>
          <w:rFonts w:ascii="Times New Roman" w:hAnsi="Times New Roman"/>
          <w:i/>
          <w:iCs/>
          <w:kern w:val="0"/>
          <w:sz w:val="28"/>
          <w:szCs w:val="28"/>
          <w:lang w:val="en-US"/>
        </w:rPr>
        <w:t>Cytol Genet,</w:t>
      </w:r>
      <w:r>
        <w:rPr>
          <w:rStyle w:val="a0"/>
          <w:rFonts w:ascii="Times New Roman" w:hAnsi="Times New Roman"/>
          <w:kern w:val="0"/>
          <w:sz w:val="28"/>
          <w:szCs w:val="28"/>
          <w:lang w:val="en-US"/>
        </w:rPr>
        <w:t xml:space="preserve"> 2025, 59, 397–407. </w:t>
      </w:r>
      <w:hyperlink r:id="rId22" w:history="1">
        <w:r>
          <w:rPr>
            <w:rStyle w:val="Hyperlink7"/>
            <w:rFonts w:ascii="Times New Roman" w:hAnsi="Times New Roman"/>
          </w:rPr>
          <w:t>https://doi.org/10.3103/S0095452725040097</w:t>
        </w:r>
      </w:hyperlink>
      <w:r>
        <w:rPr>
          <w:rStyle w:val="a0"/>
          <w:rFonts w:ascii="Times New Roman" w:hAnsi="Times New Roman"/>
          <w:kern w:val="0"/>
          <w:sz w:val="28"/>
          <w:szCs w:val="28"/>
          <w:lang w:val="en-US"/>
        </w:rPr>
        <w:t xml:space="preserve"> </w:t>
      </w:r>
    </w:p>
    <w:p w14:paraId="258201C2"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Acuña-Gutiérrez C, Jiménez VM, Müller J. Occurrence of mycotoxins in pulses. </w:t>
      </w:r>
      <w:r>
        <w:rPr>
          <w:rStyle w:val="a0"/>
          <w:rFonts w:ascii="Times New Roman" w:hAnsi="Times New Roman"/>
          <w:i/>
          <w:iCs/>
          <w:kern w:val="0"/>
          <w:sz w:val="28"/>
          <w:szCs w:val="28"/>
          <w:lang w:val="en-US"/>
        </w:rPr>
        <w:t>Compr Rev Food Sci Food Saf</w:t>
      </w:r>
      <w:r>
        <w:rPr>
          <w:rStyle w:val="a0"/>
          <w:rFonts w:ascii="Times New Roman" w:hAnsi="Times New Roman"/>
          <w:kern w:val="0"/>
          <w:sz w:val="28"/>
          <w:szCs w:val="28"/>
          <w:lang w:val="en-US"/>
        </w:rPr>
        <w:t xml:space="preserve">, 2022, 21:4002–4017. </w:t>
      </w:r>
      <w:hyperlink r:id="rId23" w:history="1">
        <w:r>
          <w:rPr>
            <w:rStyle w:val="Hyperlink6"/>
            <w:rFonts w:ascii="Times New Roman" w:hAnsi="Times New Roman"/>
            <w:sz w:val="28"/>
            <w:szCs w:val="28"/>
          </w:rPr>
          <w:t>https://doi.org/10.1111/1541-4337.13008</w:t>
        </w:r>
      </w:hyperlink>
      <w:r>
        <w:rPr>
          <w:rStyle w:val="a0"/>
          <w:rFonts w:ascii="Times New Roman" w:hAnsi="Times New Roman"/>
          <w:kern w:val="0"/>
          <w:sz w:val="28"/>
          <w:szCs w:val="28"/>
          <w:lang w:val="en-US"/>
        </w:rPr>
        <w:t xml:space="preserve">  </w:t>
      </w:r>
    </w:p>
    <w:p w14:paraId="078A3B75"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Pisuttu C, Risoli S, Moncini L et al. Sustainable strategies to counteract mycotoxins contamination and cowpea weevil in chickpea seeds during post-harvest. </w:t>
      </w:r>
      <w:r>
        <w:rPr>
          <w:rStyle w:val="a0"/>
          <w:rFonts w:ascii="Times New Roman" w:hAnsi="Times New Roman"/>
          <w:i/>
          <w:iCs/>
          <w:kern w:val="0"/>
          <w:sz w:val="28"/>
          <w:szCs w:val="28"/>
          <w:lang w:val="en-US"/>
        </w:rPr>
        <w:t>Toxins</w:t>
      </w:r>
      <w:r>
        <w:rPr>
          <w:rStyle w:val="a0"/>
          <w:rFonts w:ascii="Times New Roman" w:hAnsi="Times New Roman"/>
          <w:kern w:val="0"/>
          <w:sz w:val="28"/>
          <w:szCs w:val="28"/>
          <w:lang w:val="en-US"/>
        </w:rPr>
        <w:t xml:space="preserve">, 2023, 15:61. </w:t>
      </w:r>
      <w:hyperlink r:id="rId24" w:history="1">
        <w:r>
          <w:rPr>
            <w:rStyle w:val="Hyperlink6"/>
            <w:rFonts w:ascii="Times New Roman" w:hAnsi="Times New Roman"/>
            <w:sz w:val="28"/>
            <w:szCs w:val="28"/>
          </w:rPr>
          <w:t>https://doi.org/10.3390/toxins15010061</w:t>
        </w:r>
      </w:hyperlink>
      <w:r>
        <w:rPr>
          <w:rStyle w:val="a0"/>
          <w:rFonts w:ascii="Times New Roman" w:hAnsi="Times New Roman"/>
          <w:kern w:val="0"/>
          <w:sz w:val="28"/>
          <w:szCs w:val="28"/>
          <w:lang w:val="en-US"/>
        </w:rPr>
        <w:t xml:space="preserve">  </w:t>
      </w:r>
    </w:p>
    <w:p w14:paraId="5D17B205"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Vitalini S, Iriti M &amp; Vallone L. Mycotoxins in European Union Regulations (2023-2025). </w:t>
      </w:r>
      <w:r>
        <w:rPr>
          <w:rStyle w:val="a0"/>
          <w:rFonts w:ascii="Times New Roman" w:hAnsi="Times New Roman"/>
          <w:i/>
          <w:iCs/>
          <w:kern w:val="0"/>
          <w:sz w:val="28"/>
          <w:szCs w:val="28"/>
          <w:lang w:val="en-US"/>
        </w:rPr>
        <w:t>Italian Journal of Food Safety</w:t>
      </w:r>
      <w:r>
        <w:rPr>
          <w:rStyle w:val="a0"/>
          <w:rFonts w:ascii="Times New Roman" w:hAnsi="Times New Roman"/>
          <w:kern w:val="0"/>
          <w:sz w:val="28"/>
          <w:szCs w:val="28"/>
          <w:lang w:val="en-US"/>
        </w:rPr>
        <w:t xml:space="preserve">, 2025, 15(1):14096. </w:t>
      </w:r>
      <w:hyperlink r:id="rId25" w:history="1">
        <w:r>
          <w:rPr>
            <w:rStyle w:val="Hyperlink2"/>
            <w:rFonts w:ascii="Times New Roman" w:hAnsi="Times New Roman"/>
            <w:sz w:val="28"/>
            <w:szCs w:val="28"/>
          </w:rPr>
          <w:t>https://doi.org/10.4081/ijfs.2025.14096</w:t>
        </w:r>
      </w:hyperlink>
    </w:p>
    <w:p w14:paraId="711564B2"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Annunziata L, Campana G, De Massis MR et al. Ochratoxin A in Foods and Beverages: Dietary Exposure and Risk Assessment. </w:t>
      </w:r>
      <w:r>
        <w:rPr>
          <w:rStyle w:val="a0"/>
          <w:rFonts w:ascii="Times New Roman" w:hAnsi="Times New Roman"/>
          <w:i/>
          <w:iCs/>
          <w:kern w:val="0"/>
          <w:sz w:val="28"/>
          <w:szCs w:val="28"/>
          <w:lang w:val="en-US"/>
        </w:rPr>
        <w:t>Expo Health,</w:t>
      </w:r>
      <w:r>
        <w:rPr>
          <w:rStyle w:val="a0"/>
          <w:rFonts w:ascii="Times New Roman" w:hAnsi="Times New Roman"/>
          <w:kern w:val="0"/>
          <w:sz w:val="28"/>
          <w:szCs w:val="28"/>
          <w:lang w:val="en-US"/>
        </w:rPr>
        <w:t xml:space="preserve"> 2025, 17, 481–494. </w:t>
      </w:r>
      <w:hyperlink r:id="rId26" w:history="1">
        <w:r>
          <w:rPr>
            <w:rStyle w:val="Hyperlink7"/>
            <w:rFonts w:ascii="Times New Roman" w:hAnsi="Times New Roman"/>
          </w:rPr>
          <w:t>https://doi.org/10.1007/s12403-024-00672-2</w:t>
        </w:r>
      </w:hyperlink>
    </w:p>
    <w:p w14:paraId="5CC4FCAB"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Wang J, Sufar EK, Bernhoft A et al. Mycotoxin contamination in organic and conventional cereal grain and products: A systematic literature review and meta-analysis. </w:t>
      </w:r>
      <w:r>
        <w:rPr>
          <w:rStyle w:val="a0"/>
          <w:rFonts w:ascii="Times New Roman" w:hAnsi="Times New Roman"/>
          <w:i/>
          <w:iCs/>
          <w:kern w:val="0"/>
          <w:sz w:val="28"/>
          <w:szCs w:val="28"/>
          <w:lang w:val="en-US"/>
        </w:rPr>
        <w:t>Compr Rev Food Sci Food Saf</w:t>
      </w:r>
      <w:r>
        <w:rPr>
          <w:rStyle w:val="a0"/>
          <w:rFonts w:ascii="Times New Roman" w:hAnsi="Times New Roman"/>
          <w:kern w:val="0"/>
          <w:sz w:val="28"/>
          <w:szCs w:val="28"/>
          <w:lang w:val="en-US"/>
        </w:rPr>
        <w:t xml:space="preserve">, 2024, 23:e13363. </w:t>
      </w:r>
      <w:hyperlink r:id="rId27" w:history="1">
        <w:r>
          <w:rPr>
            <w:rStyle w:val="Hyperlink5"/>
            <w:rFonts w:ascii="Times New Roman" w:hAnsi="Times New Roman"/>
            <w:sz w:val="28"/>
            <w:szCs w:val="28"/>
          </w:rPr>
          <w:t>https://doi.org/10.1111/1541-4337.13363</w:t>
        </w:r>
      </w:hyperlink>
      <w:r>
        <w:rPr>
          <w:rStyle w:val="a0"/>
          <w:rFonts w:ascii="Times New Roman" w:hAnsi="Times New Roman"/>
          <w:kern w:val="0"/>
          <w:sz w:val="28"/>
          <w:szCs w:val="28"/>
          <w:lang w:val="en-US"/>
        </w:rPr>
        <w:t xml:space="preserve">  </w:t>
      </w:r>
    </w:p>
    <w:p w14:paraId="0C1E1DA4"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Quaglia M, Beccari G, Vella GF et al. Marketed quinoa (Chenopodium quinoa Willd.) seeds: A mycotoxin-free matrix contaminated by mycotoxigenic fungi. </w:t>
      </w:r>
      <w:r>
        <w:rPr>
          <w:rStyle w:val="a0"/>
          <w:rFonts w:ascii="Times New Roman" w:hAnsi="Times New Roman"/>
          <w:i/>
          <w:iCs/>
          <w:kern w:val="0"/>
          <w:sz w:val="28"/>
          <w:szCs w:val="28"/>
          <w:lang w:val="en-US"/>
        </w:rPr>
        <w:t>Pathogens</w:t>
      </w:r>
      <w:r>
        <w:rPr>
          <w:rStyle w:val="a0"/>
          <w:rFonts w:ascii="Times New Roman" w:hAnsi="Times New Roman"/>
          <w:kern w:val="0"/>
          <w:sz w:val="28"/>
          <w:szCs w:val="28"/>
          <w:lang w:val="en-US"/>
        </w:rPr>
        <w:t xml:space="preserve">, 2023, 12:418. </w:t>
      </w:r>
      <w:hyperlink r:id="rId28" w:history="1">
        <w:r>
          <w:rPr>
            <w:rStyle w:val="Hyperlink3"/>
            <w:rFonts w:ascii="Times New Roman" w:hAnsi="Times New Roman"/>
            <w:sz w:val="28"/>
            <w:szCs w:val="28"/>
          </w:rPr>
          <w:t>https://doi.org/10.3390/pathogens12030418</w:t>
        </w:r>
      </w:hyperlink>
    </w:p>
    <w:p w14:paraId="7A63D72B"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Perrone G, Mulè G, Susca A et al. Ochratoxin A production and amplified fragment length polymorphism analysis of Aspergillus carbonarius, Aspergillus tubingensis, and Aspergillus niger strains isolated from grapes in Italy. Appl. Environ. Microbiol. 2006, 72:680–685. </w:t>
      </w:r>
      <w:hyperlink r:id="rId29" w:history="1">
        <w:r>
          <w:rPr>
            <w:rStyle w:val="Hyperlink7"/>
            <w:rFonts w:ascii="Times New Roman" w:hAnsi="Times New Roman"/>
          </w:rPr>
          <w:t>https://doi.org/10.1128/AEM.72.1.680-685.2006</w:t>
        </w:r>
      </w:hyperlink>
    </w:p>
    <w:p w14:paraId="63428E78"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lastRenderedPageBreak/>
        <w:t>Rojas A, Bass LG, Campos-Camacho J et al. Integrative taxonomy in helminth analysis: protocols and limitations in the twenty-first century. </w:t>
      </w:r>
      <w:r>
        <w:rPr>
          <w:rStyle w:val="a0"/>
          <w:rFonts w:ascii="Times New Roman" w:hAnsi="Times New Roman"/>
          <w:i/>
          <w:iCs/>
          <w:kern w:val="0"/>
          <w:sz w:val="28"/>
          <w:szCs w:val="28"/>
          <w:lang w:val="en-US"/>
        </w:rPr>
        <w:t>Parasites Vectors</w:t>
      </w:r>
      <w:r>
        <w:rPr>
          <w:rStyle w:val="a0"/>
          <w:rFonts w:ascii="Times New Roman" w:hAnsi="Times New Roman"/>
          <w:kern w:val="0"/>
          <w:sz w:val="28"/>
          <w:szCs w:val="28"/>
          <w:lang w:val="en-US"/>
        </w:rPr>
        <w:t xml:space="preserve">, 2025, 18, 87. </w:t>
      </w:r>
      <w:hyperlink r:id="rId30" w:history="1">
        <w:r>
          <w:rPr>
            <w:rStyle w:val="Hyperlink6"/>
            <w:rFonts w:ascii="Times New Roman" w:hAnsi="Times New Roman"/>
            <w:sz w:val="28"/>
            <w:szCs w:val="28"/>
          </w:rPr>
          <w:t>https://doi.org/10.1186/s13071-025-06682-6</w:t>
        </w:r>
      </w:hyperlink>
      <w:r>
        <w:rPr>
          <w:rStyle w:val="a0"/>
          <w:rFonts w:ascii="Times New Roman" w:hAnsi="Times New Roman"/>
          <w:kern w:val="0"/>
          <w:sz w:val="28"/>
          <w:szCs w:val="28"/>
          <w:lang w:val="en-US"/>
        </w:rPr>
        <w:t xml:space="preserve"> </w:t>
      </w:r>
    </w:p>
    <w:p w14:paraId="0B60898F"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Zarrin M, Ganj F &amp; Faramarzi S. Analysis of the rDNA internal transcribed spacer region of the Fusarium species by polymerase chain reaction-restriction fragment length polymorphism. </w:t>
      </w:r>
      <w:r>
        <w:rPr>
          <w:rStyle w:val="a0"/>
          <w:rFonts w:ascii="Times New Roman" w:hAnsi="Times New Roman"/>
          <w:i/>
          <w:iCs/>
          <w:kern w:val="0"/>
          <w:sz w:val="28"/>
          <w:szCs w:val="28"/>
          <w:lang w:val="en-US"/>
        </w:rPr>
        <w:t>Biomedical reports</w:t>
      </w:r>
      <w:r>
        <w:rPr>
          <w:rStyle w:val="a0"/>
          <w:rFonts w:ascii="Times New Roman" w:hAnsi="Times New Roman"/>
          <w:kern w:val="0"/>
          <w:sz w:val="28"/>
          <w:szCs w:val="28"/>
          <w:lang w:val="en-US"/>
        </w:rPr>
        <w:t xml:space="preserve">, 20164(4), 471–474. </w:t>
      </w:r>
      <w:hyperlink r:id="rId31" w:history="1">
        <w:r>
          <w:rPr>
            <w:rStyle w:val="Hyperlink5"/>
            <w:rFonts w:ascii="Times New Roman" w:hAnsi="Times New Roman"/>
            <w:sz w:val="28"/>
            <w:szCs w:val="28"/>
          </w:rPr>
          <w:t>https://doi.org/10.3892/br.2016.615</w:t>
        </w:r>
      </w:hyperlink>
      <w:r>
        <w:rPr>
          <w:rStyle w:val="a0"/>
          <w:rFonts w:ascii="Times New Roman" w:hAnsi="Times New Roman"/>
          <w:kern w:val="0"/>
          <w:sz w:val="28"/>
          <w:szCs w:val="28"/>
          <w:lang w:val="en-US"/>
        </w:rPr>
        <w:t xml:space="preserve"> </w:t>
      </w:r>
    </w:p>
    <w:p w14:paraId="1189DF03"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Tamura K, Stecher G &amp; Kumar S. MEGA 11: Molecular Evolutionary Genetics Analysis Version 11. </w:t>
      </w:r>
      <w:r>
        <w:rPr>
          <w:rStyle w:val="a0"/>
          <w:rFonts w:ascii="Times New Roman" w:hAnsi="Times New Roman"/>
          <w:i/>
          <w:iCs/>
          <w:kern w:val="0"/>
          <w:sz w:val="28"/>
          <w:szCs w:val="28"/>
          <w:lang w:val="en-US"/>
        </w:rPr>
        <w:t xml:space="preserve">Mol Biol Evol, </w:t>
      </w:r>
      <w:r>
        <w:rPr>
          <w:rStyle w:val="a0"/>
          <w:rFonts w:ascii="Times New Roman" w:hAnsi="Times New Roman"/>
          <w:kern w:val="0"/>
          <w:sz w:val="28"/>
          <w:szCs w:val="28"/>
          <w:lang w:val="en-US"/>
        </w:rPr>
        <w:t xml:space="preserve">2021, </w:t>
      </w:r>
      <w:r>
        <w:rPr>
          <w:rStyle w:val="a0"/>
          <w:rFonts w:ascii="Times New Roman" w:hAnsi="Times New Roman"/>
          <w:kern w:val="0"/>
          <w:sz w:val="28"/>
          <w:szCs w:val="28"/>
        </w:rPr>
        <w:t>38(7):3022-7</w:t>
      </w:r>
      <w:r>
        <w:rPr>
          <w:rStyle w:val="a0"/>
          <w:rFonts w:ascii="Times New Roman" w:hAnsi="Times New Roman"/>
          <w:kern w:val="0"/>
          <w:sz w:val="28"/>
          <w:szCs w:val="28"/>
          <w:lang w:val="en-US"/>
        </w:rPr>
        <w:t>.</w:t>
      </w:r>
      <w:r>
        <w:rPr>
          <w:rStyle w:val="a0"/>
          <w:rFonts w:ascii="Times New Roman" w:hAnsi="Times New Roman"/>
          <w:kern w:val="0"/>
          <w:sz w:val="28"/>
          <w:szCs w:val="28"/>
          <w:u w:val="single"/>
          <w:lang w:val="en-US"/>
        </w:rPr>
        <w:t xml:space="preserve"> </w:t>
      </w:r>
      <w:hyperlink r:id="rId32" w:history="1">
        <w:r>
          <w:rPr>
            <w:rStyle w:val="Hyperlink3"/>
            <w:rFonts w:ascii="Times New Roman" w:hAnsi="Times New Roman"/>
            <w:sz w:val="28"/>
            <w:szCs w:val="28"/>
          </w:rPr>
          <w:t>https://doi.org/10.1093/molbev/msab120</w:t>
        </w:r>
      </w:hyperlink>
    </w:p>
    <w:p w14:paraId="713D2212"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Magan N, &amp; Aldred D. Post-harvest control strategies: minimizing mycotoxins in the food chain. </w:t>
      </w:r>
      <w:r>
        <w:rPr>
          <w:rStyle w:val="a0"/>
          <w:rFonts w:ascii="Times New Roman" w:hAnsi="Times New Roman"/>
          <w:i/>
          <w:iCs/>
          <w:kern w:val="0"/>
          <w:sz w:val="28"/>
          <w:szCs w:val="28"/>
          <w:lang w:val="en-US"/>
        </w:rPr>
        <w:t>Intern J Food Microbiol</w:t>
      </w:r>
      <w:r>
        <w:rPr>
          <w:rStyle w:val="a0"/>
          <w:rFonts w:ascii="Times New Roman" w:hAnsi="Times New Roman"/>
          <w:kern w:val="0"/>
          <w:sz w:val="28"/>
          <w:szCs w:val="28"/>
          <w:lang w:val="en-US"/>
        </w:rPr>
        <w:t xml:space="preserve">, 2007, 119(1-2), 131–139. </w:t>
      </w:r>
      <w:hyperlink r:id="rId33" w:history="1">
        <w:r>
          <w:rPr>
            <w:rStyle w:val="Hyperlink5"/>
            <w:rFonts w:ascii="Times New Roman" w:hAnsi="Times New Roman"/>
            <w:sz w:val="28"/>
            <w:szCs w:val="28"/>
          </w:rPr>
          <w:t>https://doi.org/10.1016/j.ijfoodmicro.2007.07.034</w:t>
        </w:r>
      </w:hyperlink>
      <w:r>
        <w:rPr>
          <w:rStyle w:val="a0"/>
          <w:rFonts w:ascii="Times New Roman" w:hAnsi="Times New Roman"/>
          <w:kern w:val="0"/>
          <w:sz w:val="28"/>
          <w:szCs w:val="28"/>
          <w:lang w:val="en-US"/>
        </w:rPr>
        <w:t xml:space="preserve"> </w:t>
      </w:r>
    </w:p>
    <w:p w14:paraId="5150FE48"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Samson RA, Visagie CM, Houbraken J et al. Phylogeny, identification and nomenclature of the genus Aspergillus. </w:t>
      </w:r>
      <w:r>
        <w:rPr>
          <w:rStyle w:val="a0"/>
          <w:rFonts w:ascii="Times New Roman" w:hAnsi="Times New Roman"/>
          <w:i/>
          <w:iCs/>
          <w:kern w:val="0"/>
          <w:sz w:val="28"/>
          <w:szCs w:val="28"/>
          <w:lang w:val="en-US"/>
        </w:rPr>
        <w:t>Studies in mycology</w:t>
      </w:r>
      <w:r>
        <w:rPr>
          <w:rStyle w:val="a0"/>
          <w:rFonts w:ascii="Times New Roman" w:hAnsi="Times New Roman"/>
          <w:kern w:val="0"/>
          <w:sz w:val="28"/>
          <w:szCs w:val="28"/>
          <w:lang w:val="en-US"/>
        </w:rPr>
        <w:t xml:space="preserve">, 2014, </w:t>
      </w:r>
      <w:r>
        <w:rPr>
          <w:rStyle w:val="a0"/>
          <w:rFonts w:ascii="Times New Roman" w:hAnsi="Times New Roman"/>
          <w:i/>
          <w:iCs/>
          <w:kern w:val="0"/>
          <w:sz w:val="28"/>
          <w:szCs w:val="28"/>
          <w:lang w:val="en-US"/>
        </w:rPr>
        <w:t>78</w:t>
      </w:r>
      <w:r>
        <w:rPr>
          <w:rStyle w:val="a0"/>
          <w:rFonts w:ascii="Times New Roman" w:hAnsi="Times New Roman"/>
          <w:kern w:val="0"/>
          <w:sz w:val="28"/>
          <w:szCs w:val="28"/>
          <w:lang w:val="en-US"/>
        </w:rPr>
        <w:t xml:space="preserve">, 141–173. </w:t>
      </w:r>
      <w:hyperlink r:id="rId34" w:history="1">
        <w:r w:rsidRPr="00EF6D5D">
          <w:rPr>
            <w:rStyle w:val="Hyperlink4"/>
            <w:rFonts w:ascii="Times New Roman" w:hAnsi="Times New Roman"/>
            <w:sz w:val="28"/>
            <w:szCs w:val="28"/>
            <w:lang w:val="en-US"/>
          </w:rPr>
          <w:t>https://doi.org/10.1016/j.simyco.2014.07.004</w:t>
        </w:r>
      </w:hyperlink>
    </w:p>
    <w:p w14:paraId="2B37DFA8"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Martín I, Gálvez L, Guasch L et al. Fungal Pathogens and Seed Storage in the Dry State. </w:t>
      </w:r>
      <w:r>
        <w:rPr>
          <w:rStyle w:val="a0"/>
          <w:rFonts w:ascii="Times New Roman" w:hAnsi="Times New Roman"/>
          <w:i/>
          <w:iCs/>
          <w:kern w:val="0"/>
          <w:sz w:val="28"/>
          <w:szCs w:val="28"/>
          <w:lang w:val="en-US"/>
        </w:rPr>
        <w:t>Plants</w:t>
      </w:r>
      <w:r>
        <w:rPr>
          <w:rStyle w:val="a0"/>
          <w:rFonts w:ascii="Times New Roman" w:hAnsi="Times New Roman"/>
          <w:kern w:val="0"/>
          <w:sz w:val="28"/>
          <w:szCs w:val="28"/>
          <w:lang w:val="en-US"/>
        </w:rPr>
        <w:t xml:space="preserve">, 2022, 11(22):3167. </w:t>
      </w:r>
      <w:hyperlink r:id="rId35" w:history="1">
        <w:r>
          <w:rPr>
            <w:rStyle w:val="Hyperlink5"/>
            <w:rFonts w:ascii="Times New Roman" w:hAnsi="Times New Roman"/>
            <w:sz w:val="28"/>
            <w:szCs w:val="28"/>
          </w:rPr>
          <w:t>https://doi.org/10.3390/plants11223167</w:t>
        </w:r>
      </w:hyperlink>
    </w:p>
    <w:p w14:paraId="198BFF28"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Nada S, Nikola T, Bozidar U et al. Prevention and practical strategies to control mycotoxins in the wheat and maize chain. </w:t>
      </w:r>
      <w:r>
        <w:rPr>
          <w:rStyle w:val="a0"/>
          <w:rFonts w:ascii="Times New Roman" w:hAnsi="Times New Roman"/>
          <w:i/>
          <w:iCs/>
          <w:kern w:val="0"/>
          <w:sz w:val="28"/>
          <w:szCs w:val="28"/>
          <w:lang w:val="en-US"/>
        </w:rPr>
        <w:t>Food Control</w:t>
      </w:r>
      <w:r>
        <w:rPr>
          <w:rStyle w:val="a0"/>
          <w:rFonts w:ascii="Times New Roman" w:hAnsi="Times New Roman"/>
          <w:kern w:val="0"/>
          <w:sz w:val="28"/>
          <w:szCs w:val="28"/>
          <w:lang w:val="en-US"/>
        </w:rPr>
        <w:t xml:space="preserve">, 2022, 136, 108855. </w:t>
      </w:r>
      <w:hyperlink r:id="rId36" w:history="1">
        <w:r>
          <w:rPr>
            <w:rStyle w:val="Hyperlink5"/>
            <w:rFonts w:ascii="Times New Roman" w:hAnsi="Times New Roman"/>
            <w:sz w:val="28"/>
            <w:szCs w:val="28"/>
          </w:rPr>
          <w:t>https://doi.org/10.1016/j.foodcont.2022.108855</w:t>
        </w:r>
      </w:hyperlink>
    </w:p>
    <w:p w14:paraId="2AC8742E"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Syraji Y, Jeyaramraja PR, Mada T et al. Comprehensive review of aflatoxin contamination, its occurrence, effects, management, and future perspectives. </w:t>
      </w:r>
      <w:r>
        <w:rPr>
          <w:rStyle w:val="a0"/>
          <w:rFonts w:ascii="Times New Roman" w:hAnsi="Times New Roman"/>
          <w:i/>
          <w:iCs/>
          <w:kern w:val="0"/>
          <w:sz w:val="28"/>
          <w:szCs w:val="28"/>
          <w:lang w:val="en-US"/>
        </w:rPr>
        <w:t>Discov Food</w:t>
      </w:r>
      <w:r>
        <w:rPr>
          <w:rStyle w:val="a0"/>
          <w:rFonts w:ascii="Times New Roman" w:hAnsi="Times New Roman"/>
          <w:kern w:val="0"/>
          <w:sz w:val="28"/>
          <w:szCs w:val="28"/>
          <w:lang w:val="en-US"/>
        </w:rPr>
        <w:t xml:space="preserve">, 2025, 5, 377. </w:t>
      </w:r>
      <w:hyperlink r:id="rId37" w:history="1">
        <w:r>
          <w:rPr>
            <w:rStyle w:val="Hyperlink5"/>
            <w:rFonts w:ascii="Times New Roman" w:hAnsi="Times New Roman"/>
            <w:sz w:val="28"/>
            <w:szCs w:val="28"/>
          </w:rPr>
          <w:t>https://doi.org/10.1007/s44187-025-00680-4</w:t>
        </w:r>
      </w:hyperlink>
    </w:p>
    <w:p w14:paraId="671DC999"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Magan N, Aldred D, Mylona K et al. Limiting mycotoxins in stored wheat. </w:t>
      </w:r>
      <w:r>
        <w:rPr>
          <w:rStyle w:val="a0"/>
          <w:rFonts w:ascii="Times New Roman" w:hAnsi="Times New Roman"/>
          <w:i/>
          <w:iCs/>
          <w:kern w:val="0"/>
          <w:sz w:val="28"/>
          <w:szCs w:val="28"/>
          <w:lang w:val="en-US"/>
        </w:rPr>
        <w:t>Food Addit Cont</w:t>
      </w:r>
      <w:r>
        <w:rPr>
          <w:rStyle w:val="a0"/>
          <w:rFonts w:ascii="Times New Roman" w:hAnsi="Times New Roman"/>
          <w:kern w:val="0"/>
          <w:sz w:val="28"/>
          <w:szCs w:val="28"/>
          <w:lang w:val="en-US"/>
        </w:rPr>
        <w:t xml:space="preserve">, 2010, 1;27(5):644-50. </w:t>
      </w:r>
      <w:hyperlink r:id="rId38" w:history="1">
        <w:r>
          <w:rPr>
            <w:rStyle w:val="Hyperlink5"/>
            <w:rFonts w:ascii="Times New Roman" w:hAnsi="Times New Roman"/>
            <w:sz w:val="28"/>
            <w:szCs w:val="28"/>
          </w:rPr>
          <w:t>https://doi.org/10.1080/19440040903514523</w:t>
        </w:r>
      </w:hyperlink>
    </w:p>
    <w:p w14:paraId="7CCBD7F5" w14:textId="77777777" w:rsidR="00D923CF" w:rsidRDefault="00D923CF" w:rsidP="00D923CF">
      <w:pPr>
        <w:numPr>
          <w:ilvl w:val="0"/>
          <w:numId w:val="5"/>
        </w:numPr>
        <w:pBdr>
          <w:top w:val="nil"/>
          <w:left w:val="nil"/>
          <w:bottom w:val="nil"/>
          <w:right w:val="nil"/>
          <w:between w:val="nil"/>
          <w:bar w:val="nil"/>
        </w:pBdr>
        <w:spacing w:after="0" w:line="240" w:lineRule="auto"/>
        <w:ind w:right="142"/>
        <w:jc w:val="both"/>
        <w:rPr>
          <w:rFonts w:ascii="Times New Roman" w:hAnsi="Times New Roman"/>
          <w:sz w:val="28"/>
          <w:szCs w:val="28"/>
          <w:lang w:val="en-US"/>
        </w:rPr>
      </w:pPr>
      <w:r>
        <w:rPr>
          <w:rStyle w:val="a0"/>
          <w:rFonts w:ascii="Times New Roman" w:hAnsi="Times New Roman"/>
          <w:kern w:val="0"/>
          <w:sz w:val="28"/>
          <w:szCs w:val="28"/>
          <w:lang w:val="en-US"/>
        </w:rPr>
        <w:t xml:space="preserve">Chulze SN. Strategies to reduce mycotoxin levels in maize during storage: a review. </w:t>
      </w:r>
      <w:r>
        <w:rPr>
          <w:rStyle w:val="a0"/>
          <w:rFonts w:ascii="Times New Roman" w:hAnsi="Times New Roman"/>
          <w:i/>
          <w:iCs/>
          <w:kern w:val="0"/>
          <w:sz w:val="28"/>
          <w:szCs w:val="28"/>
          <w:lang w:val="en-US"/>
        </w:rPr>
        <w:t>Food Addit Cont</w:t>
      </w:r>
      <w:r>
        <w:rPr>
          <w:rStyle w:val="a0"/>
          <w:rFonts w:ascii="Times New Roman" w:hAnsi="Times New Roman"/>
          <w:kern w:val="0"/>
          <w:sz w:val="28"/>
          <w:szCs w:val="28"/>
          <w:lang w:val="en-US"/>
        </w:rPr>
        <w:t xml:space="preserve">, 2010, 27(5), 651–657. </w:t>
      </w:r>
      <w:hyperlink r:id="rId39" w:history="1">
        <w:r>
          <w:rPr>
            <w:rStyle w:val="Hyperlink5"/>
            <w:rFonts w:ascii="Times New Roman" w:hAnsi="Times New Roman"/>
            <w:sz w:val="28"/>
            <w:szCs w:val="28"/>
          </w:rPr>
          <w:t>https://doi.org/10.1080/19440040903573032</w:t>
        </w:r>
      </w:hyperlink>
      <w:r>
        <w:rPr>
          <w:rStyle w:val="a0"/>
          <w:rFonts w:ascii="Times New Roman" w:hAnsi="Times New Roman"/>
          <w:kern w:val="0"/>
          <w:sz w:val="28"/>
          <w:szCs w:val="28"/>
          <w:lang w:val="en-US"/>
        </w:rPr>
        <w:t xml:space="preserve"> </w:t>
      </w:r>
    </w:p>
    <w:p w14:paraId="3328C8FE" w14:textId="77777777" w:rsidR="00D923CF" w:rsidRDefault="00D923CF" w:rsidP="00D923CF">
      <w:pPr>
        <w:spacing w:after="0" w:line="240" w:lineRule="auto"/>
        <w:jc w:val="center"/>
        <w:rPr>
          <w:rStyle w:val="a0"/>
          <w:rFonts w:ascii="Times New Roman" w:eastAsia="Times New Roman" w:hAnsi="Times New Roman"/>
          <w:b/>
          <w:bCs/>
          <w:sz w:val="28"/>
          <w:szCs w:val="28"/>
        </w:rPr>
      </w:pPr>
    </w:p>
    <w:p w14:paraId="3EB37CD5" w14:textId="77777777" w:rsidR="00D923CF" w:rsidRDefault="00D923CF" w:rsidP="00D923CF">
      <w:pPr>
        <w:tabs>
          <w:tab w:val="left" w:pos="993"/>
        </w:tabs>
        <w:spacing w:after="0" w:line="240" w:lineRule="auto"/>
        <w:jc w:val="center"/>
        <w:rPr>
          <w:rStyle w:val="a0"/>
          <w:rFonts w:ascii="Times New Roman" w:eastAsia="Times New Roman" w:hAnsi="Times New Roman"/>
          <w:kern w:val="0"/>
          <w:sz w:val="28"/>
          <w:szCs w:val="28"/>
        </w:rPr>
      </w:pPr>
      <w:r>
        <w:rPr>
          <w:rStyle w:val="a0"/>
          <w:rFonts w:ascii="Times New Roman" w:hAnsi="Times New Roman"/>
          <w:b/>
          <w:bCs/>
          <w:kern w:val="0"/>
          <w:sz w:val="28"/>
          <w:szCs w:val="28"/>
        </w:rPr>
        <w:t xml:space="preserve">Қазақстанның Ақмола облысындағы ноқат тұқымдарындағы </w:t>
      </w:r>
      <w:r>
        <w:rPr>
          <w:rStyle w:val="a0"/>
          <w:rFonts w:ascii="Times New Roman" w:hAnsi="Times New Roman"/>
          <w:b/>
          <w:bCs/>
          <w:i/>
          <w:iCs/>
          <w:kern w:val="0"/>
          <w:sz w:val="28"/>
          <w:szCs w:val="28"/>
        </w:rPr>
        <w:t>Aspergillus</w:t>
      </w:r>
      <w:r>
        <w:rPr>
          <w:rStyle w:val="a0"/>
          <w:rFonts w:ascii="Times New Roman" w:hAnsi="Times New Roman"/>
          <w:b/>
          <w:bCs/>
          <w:kern w:val="0"/>
          <w:sz w:val="28"/>
          <w:szCs w:val="28"/>
        </w:rPr>
        <w:t xml:space="preserve"> сақтау саңырауқұлақтарының молекулалық идентификациясы және әртүрлілігі</w:t>
      </w:r>
    </w:p>
    <w:p w14:paraId="06C8D8F0" w14:textId="77777777" w:rsidR="00D923CF" w:rsidRDefault="00D923CF" w:rsidP="00D923CF">
      <w:pPr>
        <w:spacing w:after="0" w:line="240" w:lineRule="auto"/>
        <w:jc w:val="center"/>
        <w:rPr>
          <w:rStyle w:val="a0"/>
          <w:rFonts w:ascii="Times New Roman" w:eastAsia="Times New Roman" w:hAnsi="Times New Roman"/>
          <w:b/>
          <w:bCs/>
          <w:sz w:val="28"/>
          <w:szCs w:val="28"/>
        </w:rPr>
      </w:pPr>
    </w:p>
    <w:p w14:paraId="623735B1" w14:textId="77777777" w:rsidR="00D923CF" w:rsidRDefault="00D923CF" w:rsidP="00D923CF">
      <w:pPr>
        <w:tabs>
          <w:tab w:val="left" w:pos="993"/>
        </w:tabs>
        <w:spacing w:after="0" w:line="240" w:lineRule="auto"/>
        <w:jc w:val="both"/>
        <w:rPr>
          <w:rStyle w:val="a0"/>
          <w:rFonts w:ascii="Times New Roman" w:eastAsia="Times New Roman" w:hAnsi="Times New Roman"/>
          <w:b/>
          <w:bCs/>
          <w:kern w:val="0"/>
          <w:sz w:val="28"/>
          <w:szCs w:val="28"/>
          <w:vertAlign w:val="superscript"/>
        </w:rPr>
      </w:pPr>
      <w:r>
        <w:rPr>
          <w:rStyle w:val="a0"/>
          <w:rFonts w:ascii="Times New Roman" w:hAnsi="Times New Roman"/>
          <w:b/>
          <w:bCs/>
          <w:kern w:val="0"/>
          <w:sz w:val="28"/>
          <w:szCs w:val="28"/>
        </w:rPr>
        <w:t>Р.С. Уахит</w:t>
      </w:r>
      <w:r>
        <w:rPr>
          <w:rStyle w:val="a0"/>
          <w:rFonts w:ascii="Times New Roman" w:hAnsi="Times New Roman"/>
          <w:b/>
          <w:bCs/>
          <w:kern w:val="0"/>
          <w:sz w:val="28"/>
          <w:szCs w:val="28"/>
          <w:vertAlign w:val="superscript"/>
        </w:rPr>
        <w:t>1</w:t>
      </w:r>
      <w:r>
        <w:rPr>
          <w:rStyle w:val="a0"/>
          <w:rFonts w:ascii="Times New Roman" w:hAnsi="Times New Roman"/>
          <w:b/>
          <w:bCs/>
          <w:kern w:val="0"/>
          <w:sz w:val="28"/>
          <w:szCs w:val="28"/>
        </w:rPr>
        <w:t>, А.М. Смагулова</w:t>
      </w:r>
      <w:r>
        <w:rPr>
          <w:rStyle w:val="a0"/>
          <w:rFonts w:ascii="Times New Roman" w:hAnsi="Times New Roman"/>
          <w:b/>
          <w:bCs/>
          <w:kern w:val="0"/>
          <w:sz w:val="28"/>
          <w:szCs w:val="28"/>
          <w:vertAlign w:val="superscript"/>
        </w:rPr>
        <w:t>1</w:t>
      </w:r>
      <w:r>
        <w:rPr>
          <w:rStyle w:val="a0"/>
          <w:rFonts w:ascii="Times New Roman" w:hAnsi="Times New Roman"/>
          <w:b/>
          <w:bCs/>
          <w:kern w:val="0"/>
          <w:sz w:val="28"/>
          <w:szCs w:val="28"/>
        </w:rPr>
        <w:t>, А.С. Абаш</w:t>
      </w:r>
      <w:r>
        <w:rPr>
          <w:rStyle w:val="a0"/>
          <w:rFonts w:ascii="Times New Roman" w:hAnsi="Times New Roman"/>
          <w:b/>
          <w:bCs/>
          <w:kern w:val="0"/>
          <w:sz w:val="28"/>
          <w:szCs w:val="28"/>
          <w:vertAlign w:val="superscript"/>
        </w:rPr>
        <w:t>2</w:t>
      </w:r>
      <w:r>
        <w:rPr>
          <w:rStyle w:val="a0"/>
          <w:rFonts w:ascii="Times New Roman" w:hAnsi="Times New Roman"/>
          <w:b/>
          <w:bCs/>
          <w:kern w:val="0"/>
          <w:sz w:val="28"/>
          <w:szCs w:val="28"/>
        </w:rPr>
        <w:t>, В.С. Киян</w:t>
      </w:r>
      <w:r>
        <w:rPr>
          <w:rStyle w:val="a0"/>
          <w:rFonts w:ascii="Times New Roman" w:hAnsi="Times New Roman"/>
          <w:b/>
          <w:bCs/>
          <w:kern w:val="0"/>
          <w:sz w:val="28"/>
          <w:szCs w:val="28"/>
          <w:vertAlign w:val="superscript"/>
        </w:rPr>
        <w:t>1</w:t>
      </w:r>
      <w:r>
        <w:rPr>
          <w:rStyle w:val="a0"/>
          <w:rFonts w:ascii="Times New Roman" w:hAnsi="Times New Roman"/>
          <w:b/>
          <w:bCs/>
          <w:kern w:val="0"/>
          <w:sz w:val="28"/>
          <w:szCs w:val="28"/>
        </w:rPr>
        <w:t>, К.А. Дюсембаев</w:t>
      </w:r>
      <w:r>
        <w:rPr>
          <w:rStyle w:val="a0"/>
          <w:rFonts w:ascii="Times New Roman" w:hAnsi="Times New Roman"/>
          <w:b/>
          <w:bCs/>
          <w:kern w:val="0"/>
          <w:sz w:val="28"/>
          <w:szCs w:val="28"/>
          <w:vertAlign w:val="superscript"/>
        </w:rPr>
        <w:t>1,3*</w:t>
      </w:r>
    </w:p>
    <w:p w14:paraId="7B13C494" w14:textId="77777777" w:rsidR="00D923CF" w:rsidRDefault="00D923CF" w:rsidP="00D923CF">
      <w:pPr>
        <w:tabs>
          <w:tab w:val="left" w:pos="993"/>
        </w:tabs>
        <w:spacing w:after="0" w:line="240" w:lineRule="auto"/>
        <w:jc w:val="both"/>
        <w:rPr>
          <w:rStyle w:val="a0"/>
          <w:rFonts w:ascii="Times New Roman" w:eastAsia="Times New Roman" w:hAnsi="Times New Roman"/>
          <w:b/>
          <w:bCs/>
          <w:kern w:val="0"/>
          <w:sz w:val="28"/>
          <w:szCs w:val="28"/>
        </w:rPr>
      </w:pPr>
    </w:p>
    <w:p w14:paraId="40695694" w14:textId="77777777" w:rsidR="00D923CF" w:rsidRDefault="00D923CF" w:rsidP="00D923CF">
      <w:pPr>
        <w:tabs>
          <w:tab w:val="left" w:pos="993"/>
        </w:tabs>
        <w:spacing w:after="0" w:line="240" w:lineRule="auto"/>
        <w:jc w:val="center"/>
        <w:rPr>
          <w:rStyle w:val="a0"/>
          <w:rFonts w:ascii="Times New Roman" w:eastAsia="Times New Roman" w:hAnsi="Times New Roman"/>
          <w:i/>
          <w:iCs/>
          <w:kern w:val="0"/>
          <w:sz w:val="28"/>
          <w:szCs w:val="28"/>
        </w:rPr>
      </w:pPr>
      <w:r>
        <w:rPr>
          <w:rStyle w:val="a0"/>
          <w:rFonts w:ascii="Times New Roman" w:hAnsi="Times New Roman"/>
          <w:i/>
          <w:iCs/>
          <w:kern w:val="0"/>
          <w:sz w:val="28"/>
          <w:szCs w:val="28"/>
          <w:vertAlign w:val="superscript"/>
        </w:rPr>
        <w:t>1</w:t>
      </w:r>
      <w:r>
        <w:rPr>
          <w:rStyle w:val="a0"/>
          <w:rFonts w:ascii="Times New Roman" w:hAnsi="Times New Roman"/>
          <w:i/>
          <w:iCs/>
          <w:kern w:val="0"/>
          <w:sz w:val="28"/>
          <w:szCs w:val="28"/>
        </w:rPr>
        <w:t>Биоәртүрлілік және генетикалық ресурстар зертханасы, Ұлттық биотехнология орталығы, Астана, Қазақстан</w:t>
      </w:r>
    </w:p>
    <w:p w14:paraId="242B4C80" w14:textId="77777777" w:rsidR="00D923CF" w:rsidRDefault="00D923CF" w:rsidP="00D923CF">
      <w:pPr>
        <w:spacing w:after="0" w:line="240" w:lineRule="auto"/>
        <w:jc w:val="center"/>
        <w:rPr>
          <w:rStyle w:val="a0"/>
          <w:rFonts w:ascii="Times New Roman" w:eastAsia="Times New Roman" w:hAnsi="Times New Roman"/>
          <w:i/>
          <w:iCs/>
          <w:kern w:val="0"/>
          <w:sz w:val="28"/>
          <w:szCs w:val="28"/>
        </w:rPr>
      </w:pPr>
      <w:r>
        <w:rPr>
          <w:rStyle w:val="a0"/>
          <w:rFonts w:ascii="Times New Roman" w:hAnsi="Times New Roman"/>
          <w:i/>
          <w:iCs/>
          <w:kern w:val="0"/>
          <w:sz w:val="28"/>
          <w:szCs w:val="28"/>
          <w:vertAlign w:val="superscript"/>
        </w:rPr>
        <w:t>2</w:t>
      </w:r>
      <w:r>
        <w:rPr>
          <w:rStyle w:val="a0"/>
          <w:rFonts w:ascii="Times New Roman" w:hAnsi="Times New Roman"/>
          <w:i/>
          <w:iCs/>
          <w:kern w:val="0"/>
          <w:sz w:val="28"/>
          <w:szCs w:val="28"/>
        </w:rPr>
        <w:t>Жаратылыстану ғылымдарының жоғары мектебі, Астана халықаралық университеті, Астана, Қазақстан</w:t>
      </w:r>
    </w:p>
    <w:p w14:paraId="2C229116" w14:textId="77777777" w:rsidR="00D923CF" w:rsidRDefault="00D923CF" w:rsidP="00D923CF">
      <w:pPr>
        <w:spacing w:after="0" w:line="240" w:lineRule="auto"/>
        <w:jc w:val="center"/>
        <w:rPr>
          <w:rStyle w:val="a0"/>
          <w:rFonts w:ascii="Times New Roman" w:eastAsia="Times New Roman" w:hAnsi="Times New Roman"/>
          <w:i/>
          <w:iCs/>
          <w:kern w:val="0"/>
          <w:sz w:val="28"/>
          <w:szCs w:val="28"/>
        </w:rPr>
      </w:pPr>
      <w:r>
        <w:rPr>
          <w:rStyle w:val="a0"/>
          <w:rFonts w:ascii="Times New Roman" w:hAnsi="Times New Roman"/>
          <w:i/>
          <w:iCs/>
          <w:kern w:val="0"/>
          <w:sz w:val="28"/>
          <w:szCs w:val="28"/>
          <w:vertAlign w:val="superscript"/>
        </w:rPr>
        <w:t>3</w:t>
      </w:r>
      <w:r>
        <w:rPr>
          <w:rStyle w:val="a0"/>
          <w:rFonts w:ascii="Times New Roman" w:hAnsi="Times New Roman"/>
          <w:i/>
          <w:iCs/>
          <w:kern w:val="0"/>
          <w:sz w:val="28"/>
          <w:szCs w:val="28"/>
        </w:rPr>
        <w:t>Биотехнология және микробиология кафедрасы, Л.Н. Гумилев атындағы Еуразия ұлттық университеті, Астана, Қазақстан</w:t>
      </w:r>
    </w:p>
    <w:p w14:paraId="4524B084" w14:textId="77777777" w:rsidR="00D923CF" w:rsidRDefault="00D923CF" w:rsidP="00D923CF">
      <w:pPr>
        <w:spacing w:after="0" w:line="240" w:lineRule="auto"/>
        <w:jc w:val="center"/>
        <w:rPr>
          <w:rStyle w:val="a0"/>
          <w:rFonts w:ascii="Times New Roman" w:eastAsia="Times New Roman" w:hAnsi="Times New Roman"/>
          <w:i/>
          <w:iCs/>
          <w:kern w:val="0"/>
          <w:sz w:val="28"/>
          <w:szCs w:val="28"/>
        </w:rPr>
      </w:pPr>
    </w:p>
    <w:p w14:paraId="2B948249" w14:textId="77777777" w:rsidR="00D923CF" w:rsidRDefault="00D923CF" w:rsidP="00D923CF">
      <w:pPr>
        <w:spacing w:after="0" w:line="240" w:lineRule="auto"/>
        <w:ind w:right="142"/>
        <w:jc w:val="center"/>
        <w:rPr>
          <w:rStyle w:val="Hyperlink0"/>
          <w:rFonts w:eastAsia="Aptos"/>
        </w:rPr>
      </w:pPr>
      <w:r>
        <w:rPr>
          <w:rStyle w:val="Hyperlink0"/>
          <w:rFonts w:eastAsia="Aptos"/>
        </w:rPr>
        <w:lastRenderedPageBreak/>
        <w:t>E-mail: erken.uakhitrabiga@gmail.com</w:t>
      </w:r>
      <w:r>
        <w:rPr>
          <w:rStyle w:val="a0"/>
          <w:rFonts w:ascii="Times New Roman" w:hAnsi="Times New Roman"/>
          <w:i/>
          <w:iCs/>
          <w:kern w:val="0"/>
          <w:sz w:val="24"/>
          <w:szCs w:val="24"/>
          <w:vertAlign w:val="superscript"/>
          <w:lang w:val="en-US"/>
        </w:rPr>
        <w:t>1</w:t>
      </w:r>
      <w:r>
        <w:rPr>
          <w:rStyle w:val="Hyperlink0"/>
          <w:rFonts w:eastAsia="Aptos"/>
        </w:rPr>
        <w:t xml:space="preserve">, </w:t>
      </w:r>
      <w:hyperlink r:id="rId40" w:history="1">
        <w:r>
          <w:rPr>
            <w:rStyle w:val="Hyperlink0"/>
            <w:rFonts w:eastAsia="Aptos"/>
          </w:rPr>
          <w:t>smagulova0114@gmail.com</w:t>
        </w:r>
      </w:hyperlink>
      <w:r>
        <w:rPr>
          <w:rStyle w:val="a0"/>
          <w:rFonts w:ascii="Times New Roman" w:hAnsi="Times New Roman"/>
          <w:i/>
          <w:iCs/>
          <w:kern w:val="0"/>
          <w:sz w:val="24"/>
          <w:szCs w:val="24"/>
          <w:vertAlign w:val="superscript"/>
          <w:lang w:val="en-US"/>
        </w:rPr>
        <w:t>2</w:t>
      </w:r>
      <w:r>
        <w:rPr>
          <w:rStyle w:val="Hyperlink0"/>
          <w:rFonts w:eastAsia="Aptos"/>
        </w:rPr>
        <w:t>, altın_jan82mail.ru</w:t>
      </w:r>
      <w:r>
        <w:rPr>
          <w:rStyle w:val="a0"/>
          <w:rFonts w:ascii="Times New Roman" w:hAnsi="Times New Roman"/>
          <w:i/>
          <w:iCs/>
          <w:kern w:val="0"/>
          <w:sz w:val="24"/>
          <w:szCs w:val="24"/>
          <w:vertAlign w:val="superscript"/>
          <w:lang w:val="en-US"/>
        </w:rPr>
        <w:t>3</w:t>
      </w:r>
      <w:r>
        <w:rPr>
          <w:rStyle w:val="Hyperlink0"/>
          <w:rFonts w:eastAsia="Aptos"/>
        </w:rPr>
        <w:t>, vskiyan@gmail.com</w:t>
      </w:r>
      <w:r>
        <w:rPr>
          <w:rStyle w:val="a0"/>
          <w:rFonts w:ascii="Times New Roman" w:hAnsi="Times New Roman"/>
          <w:i/>
          <w:iCs/>
          <w:kern w:val="0"/>
          <w:sz w:val="24"/>
          <w:szCs w:val="24"/>
          <w:vertAlign w:val="superscript"/>
          <w:lang w:val="en-US"/>
        </w:rPr>
        <w:t>4</w:t>
      </w:r>
      <w:r>
        <w:rPr>
          <w:rStyle w:val="Hyperlink0"/>
          <w:rFonts w:eastAsia="Aptos"/>
        </w:rPr>
        <w:t xml:space="preserve">, </w:t>
      </w:r>
      <w:hyperlink r:id="rId41" w:history="1">
        <w:r>
          <w:rPr>
            <w:rStyle w:val="Hyperlink0"/>
            <w:rFonts w:eastAsia="Aptos"/>
          </w:rPr>
          <w:t>dyussembayev@biocenter.kz</w:t>
        </w:r>
      </w:hyperlink>
      <w:r>
        <w:rPr>
          <w:rStyle w:val="a0"/>
          <w:rFonts w:ascii="Times New Roman" w:hAnsi="Times New Roman"/>
          <w:i/>
          <w:iCs/>
          <w:kern w:val="0"/>
          <w:sz w:val="24"/>
          <w:szCs w:val="24"/>
          <w:vertAlign w:val="superscript"/>
          <w:lang w:val="en-US"/>
        </w:rPr>
        <w:t>5</w:t>
      </w:r>
    </w:p>
    <w:p w14:paraId="7B56E52F" w14:textId="77777777" w:rsidR="00D923CF" w:rsidRDefault="00D923CF" w:rsidP="00D923CF">
      <w:pPr>
        <w:spacing w:after="0" w:line="240" w:lineRule="auto"/>
        <w:jc w:val="center"/>
        <w:rPr>
          <w:rStyle w:val="a0"/>
          <w:rFonts w:ascii="Times New Roman" w:eastAsia="Times New Roman" w:hAnsi="Times New Roman"/>
          <w:i/>
          <w:iCs/>
          <w:kern w:val="0"/>
          <w:sz w:val="28"/>
          <w:szCs w:val="28"/>
          <w:lang w:val="en-US"/>
        </w:rPr>
      </w:pPr>
    </w:p>
    <w:p w14:paraId="4FA344E5" w14:textId="77777777" w:rsidR="00D923CF" w:rsidRPr="00EF6D5D" w:rsidRDefault="00D923CF" w:rsidP="00D923CF">
      <w:pPr>
        <w:tabs>
          <w:tab w:val="left" w:pos="993"/>
        </w:tabs>
        <w:spacing w:after="0" w:line="240" w:lineRule="auto"/>
        <w:jc w:val="both"/>
        <w:rPr>
          <w:rStyle w:val="a0"/>
          <w:rFonts w:ascii="Times New Roman" w:eastAsia="Times New Roman" w:hAnsi="Times New Roman"/>
          <w:b/>
          <w:bCs/>
          <w:sz w:val="28"/>
          <w:szCs w:val="28"/>
          <w:lang w:val="en-US"/>
        </w:rPr>
      </w:pPr>
    </w:p>
    <w:p w14:paraId="4596D298" w14:textId="77777777" w:rsidR="00D923CF" w:rsidRPr="00EF6D5D" w:rsidRDefault="00D923CF" w:rsidP="00D923CF">
      <w:pPr>
        <w:tabs>
          <w:tab w:val="left" w:pos="993"/>
        </w:tabs>
        <w:spacing w:after="0" w:line="240" w:lineRule="auto"/>
        <w:jc w:val="both"/>
        <w:rPr>
          <w:rStyle w:val="a0"/>
          <w:rFonts w:ascii="Times New Roman" w:eastAsia="Times New Roman" w:hAnsi="Times New Roman"/>
          <w:kern w:val="0"/>
          <w:sz w:val="28"/>
          <w:szCs w:val="28"/>
          <w:lang w:val="en-US"/>
        </w:rPr>
      </w:pPr>
      <w:r>
        <w:rPr>
          <w:rStyle w:val="a0"/>
          <w:rFonts w:ascii="Times New Roman" w:hAnsi="Times New Roman"/>
          <w:b/>
          <w:bCs/>
          <w:kern w:val="0"/>
          <w:sz w:val="28"/>
          <w:szCs w:val="28"/>
        </w:rPr>
        <w:t>Аңдатпа</w:t>
      </w:r>
      <w:r w:rsidRPr="00EF6D5D">
        <w:rPr>
          <w:rStyle w:val="a0"/>
          <w:rFonts w:ascii="Times New Roman" w:hAnsi="Times New Roman"/>
          <w:b/>
          <w:bCs/>
          <w:kern w:val="0"/>
          <w:sz w:val="28"/>
          <w:szCs w:val="28"/>
          <w:lang w:val="en-US"/>
        </w:rPr>
        <w:t>.</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Ноқат</w:t>
      </w:r>
      <w:r w:rsidRPr="00EF6D5D">
        <w:rPr>
          <w:rStyle w:val="a0"/>
          <w:rFonts w:ascii="Times New Roman" w:hAnsi="Times New Roman"/>
          <w:kern w:val="0"/>
          <w:sz w:val="28"/>
          <w:szCs w:val="28"/>
          <w:lang w:val="en-US"/>
        </w:rPr>
        <w:t xml:space="preserve"> (</w:t>
      </w:r>
      <w:r w:rsidRPr="00EF6D5D">
        <w:rPr>
          <w:rStyle w:val="a0"/>
          <w:rFonts w:ascii="Times New Roman" w:hAnsi="Times New Roman"/>
          <w:i/>
          <w:iCs/>
          <w:kern w:val="0"/>
          <w:sz w:val="28"/>
          <w:szCs w:val="28"/>
          <w:lang w:val="en-US"/>
        </w:rPr>
        <w:t>Cicer arietinum</w:t>
      </w:r>
      <w:r w:rsidRPr="00EF6D5D">
        <w:rPr>
          <w:rStyle w:val="a0"/>
          <w:rFonts w:ascii="Times New Roman" w:hAnsi="Times New Roman"/>
          <w:kern w:val="0"/>
          <w:sz w:val="28"/>
          <w:szCs w:val="28"/>
          <w:lang w:val="en-US"/>
        </w:rPr>
        <w:t xml:space="preserve"> L.) – </w:t>
      </w:r>
      <w:r>
        <w:rPr>
          <w:rStyle w:val="a0"/>
          <w:rFonts w:ascii="Times New Roman" w:hAnsi="Times New Roman"/>
          <w:kern w:val="0"/>
          <w:sz w:val="28"/>
          <w:szCs w:val="28"/>
        </w:rPr>
        <w:t>егін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жинаудан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кейінгі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сапасы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жиі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оппортунистік</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сақтау</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саңырауқұлақтарымен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төмендейтін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микотоксиндермен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ластануына</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байланысты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экономикалық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шығындарға</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және</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денсаулыққа</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әлеуетті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қауіп</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төндіретін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маңызды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бұршақ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дақылы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Оның</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ауылшаруашылық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маңызына</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қарамастан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Қазақстанда</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ноқат</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тұқымдарын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зақымдайтын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сақтау</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саңырауқұлақтары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туралы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ақпарат</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шектеулі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күйде</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қалып</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отыр</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Бұл</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зерттеудің</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мақсаты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Ақмола</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облысында</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өсірілген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ноқат</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тұқымдарын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ластайтын</w:t>
      </w:r>
      <w:r w:rsidRPr="00EF6D5D">
        <w:rPr>
          <w:rStyle w:val="a0"/>
          <w:rFonts w:ascii="Times New Roman" w:hAnsi="Times New Roman"/>
          <w:kern w:val="0"/>
          <w:sz w:val="28"/>
          <w:szCs w:val="28"/>
          <w:lang w:val="en-US"/>
        </w:rPr>
        <w:t xml:space="preserve"> </w:t>
      </w:r>
      <w:r w:rsidRPr="00EF6D5D">
        <w:rPr>
          <w:rStyle w:val="a0"/>
          <w:rFonts w:ascii="Times New Roman" w:hAnsi="Times New Roman"/>
          <w:i/>
          <w:iCs/>
          <w:kern w:val="0"/>
          <w:sz w:val="28"/>
          <w:szCs w:val="28"/>
          <w:lang w:val="en-US"/>
        </w:rPr>
        <w:t>Aspergillus</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түрлерін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бөліп</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алу</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және</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анықтау</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болды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Жергілікті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ауылшаруашылық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өндірісінен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алынған</w:t>
      </w:r>
      <w:r w:rsidRPr="00EF6D5D">
        <w:rPr>
          <w:rStyle w:val="a0"/>
          <w:rFonts w:ascii="Times New Roman" w:hAnsi="Times New Roman"/>
          <w:kern w:val="0"/>
          <w:sz w:val="28"/>
          <w:szCs w:val="28"/>
          <w:lang w:val="en-US"/>
        </w:rPr>
        <w:t xml:space="preserve"> 200-</w:t>
      </w:r>
      <w:r>
        <w:rPr>
          <w:rStyle w:val="a0"/>
          <w:rFonts w:ascii="Times New Roman" w:hAnsi="Times New Roman"/>
          <w:kern w:val="0"/>
          <w:sz w:val="28"/>
          <w:szCs w:val="28"/>
        </w:rPr>
        <w:t>ден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астам</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тұқым</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үлгілері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бағаланды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Бастапқы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микробиологиялық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талдау</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мен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микроскопиялық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зерттеуден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кейін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рибосомалық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ДНҚ</w:t>
      </w:r>
      <w:r w:rsidRPr="00EF6D5D">
        <w:rPr>
          <w:rStyle w:val="a0"/>
          <w:rFonts w:ascii="Times New Roman" w:hAnsi="Times New Roman"/>
          <w:kern w:val="0"/>
          <w:sz w:val="28"/>
          <w:szCs w:val="28"/>
          <w:lang w:val="en-US"/>
        </w:rPr>
        <w:t>-</w:t>
      </w:r>
      <w:r>
        <w:rPr>
          <w:rStyle w:val="a0"/>
          <w:rFonts w:ascii="Times New Roman" w:hAnsi="Times New Roman"/>
          <w:kern w:val="0"/>
          <w:sz w:val="28"/>
          <w:szCs w:val="28"/>
        </w:rPr>
        <w:t>ның</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ішкі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транскрипцияланатын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спейсері</w:t>
      </w:r>
      <w:r w:rsidRPr="00EF6D5D">
        <w:rPr>
          <w:rStyle w:val="a0"/>
          <w:rFonts w:ascii="Times New Roman" w:hAnsi="Times New Roman"/>
          <w:kern w:val="0"/>
          <w:sz w:val="28"/>
          <w:szCs w:val="28"/>
          <w:lang w:val="en-US"/>
        </w:rPr>
        <w:t xml:space="preserve"> (ITS) </w:t>
      </w:r>
      <w:r>
        <w:rPr>
          <w:rStyle w:val="a0"/>
          <w:rFonts w:ascii="Times New Roman" w:hAnsi="Times New Roman"/>
          <w:kern w:val="0"/>
          <w:sz w:val="28"/>
          <w:szCs w:val="28"/>
        </w:rPr>
        <w:t>аймағын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амплификациялау</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және</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секвенирлеу</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арқылы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нақты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молекулалық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идентификация</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жасалды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Алынған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тізбектердің</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филогенетикалық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талдауы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екі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түрлі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түрдің</w:t>
      </w:r>
      <w:r w:rsidRPr="00EF6D5D">
        <w:rPr>
          <w:rStyle w:val="a0"/>
          <w:rFonts w:ascii="Times New Roman" w:hAnsi="Times New Roman"/>
          <w:kern w:val="0"/>
          <w:sz w:val="28"/>
          <w:szCs w:val="28"/>
          <w:lang w:val="en-US"/>
        </w:rPr>
        <w:t xml:space="preserve">: </w:t>
      </w:r>
      <w:r w:rsidRPr="00EF6D5D">
        <w:rPr>
          <w:rStyle w:val="a0"/>
          <w:rFonts w:ascii="Times New Roman" w:hAnsi="Times New Roman"/>
          <w:i/>
          <w:iCs/>
          <w:kern w:val="0"/>
          <w:sz w:val="28"/>
          <w:szCs w:val="28"/>
          <w:lang w:val="en-US"/>
        </w:rPr>
        <w:t>Aspergillus niger</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және</w:t>
      </w:r>
      <w:r w:rsidRPr="00EF6D5D">
        <w:rPr>
          <w:rStyle w:val="a0"/>
          <w:rFonts w:ascii="Times New Roman" w:hAnsi="Times New Roman"/>
          <w:kern w:val="0"/>
          <w:sz w:val="28"/>
          <w:szCs w:val="28"/>
          <w:lang w:val="en-US"/>
        </w:rPr>
        <w:t xml:space="preserve"> </w:t>
      </w:r>
      <w:r w:rsidRPr="00EF6D5D">
        <w:rPr>
          <w:rStyle w:val="a0"/>
          <w:rFonts w:ascii="Times New Roman" w:hAnsi="Times New Roman"/>
          <w:i/>
          <w:iCs/>
          <w:kern w:val="0"/>
          <w:sz w:val="28"/>
          <w:szCs w:val="28"/>
          <w:lang w:val="en-US"/>
        </w:rPr>
        <w:t>Aspergillus fumigatus</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бар</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екенін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растады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Осы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барлық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жерде</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таралған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сапрофиттердің</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бөлініп</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алынуы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жергілікті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климаттық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факторлар</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мен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қойма</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микроклиматы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әсерінен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ушығатын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егін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жинаудан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кейінгі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саңырауқұлақтардың</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айтарлықтай</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көбеюін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көрсетеді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Бұл</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нәтижелер</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аймақтық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егін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жинаудан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кейінгі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инфрақұрылымдағы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маңызды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осалдықты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көрсетеді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және</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қатаң</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фитосанитариялық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мониторинг</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қажеттілігін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баса</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айтады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Жақсартылған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тұрақты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сақтауды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басқару</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стратегияларын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енгізу</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саңырауқұлақтармен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ластануды</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азайту</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және</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жергілікті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ауылшаруашылық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өнімдерінің</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қауіпсіздігін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қамтамасыз</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ету</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үшін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өте</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маңызды</w:t>
      </w:r>
      <w:r w:rsidRPr="00EF6D5D">
        <w:rPr>
          <w:rStyle w:val="a0"/>
          <w:rFonts w:ascii="Times New Roman" w:hAnsi="Times New Roman"/>
          <w:kern w:val="0"/>
          <w:sz w:val="28"/>
          <w:szCs w:val="28"/>
          <w:lang w:val="en-US"/>
        </w:rPr>
        <w:t>.</w:t>
      </w:r>
    </w:p>
    <w:p w14:paraId="4619DD0C" w14:textId="77777777" w:rsidR="00D923CF" w:rsidRPr="00EF6D5D" w:rsidRDefault="00D923CF" w:rsidP="00D923CF">
      <w:pPr>
        <w:tabs>
          <w:tab w:val="left" w:pos="993"/>
        </w:tabs>
        <w:spacing w:after="0" w:line="240" w:lineRule="auto"/>
        <w:jc w:val="both"/>
        <w:rPr>
          <w:rStyle w:val="a0"/>
          <w:rFonts w:ascii="Times New Roman" w:eastAsia="Times New Roman" w:hAnsi="Times New Roman"/>
          <w:kern w:val="0"/>
          <w:sz w:val="28"/>
          <w:szCs w:val="28"/>
          <w:lang w:val="en-US"/>
        </w:rPr>
      </w:pPr>
      <w:r>
        <w:rPr>
          <w:rStyle w:val="a0"/>
          <w:rFonts w:ascii="Times New Roman" w:hAnsi="Times New Roman"/>
          <w:b/>
          <w:bCs/>
          <w:kern w:val="0"/>
          <w:sz w:val="28"/>
          <w:szCs w:val="28"/>
          <w:shd w:val="clear" w:color="auto" w:fill="F4B898"/>
        </w:rPr>
        <w:t>Түйін</w:t>
      </w:r>
      <w:r w:rsidRPr="00EF6D5D">
        <w:rPr>
          <w:rStyle w:val="a0"/>
          <w:rFonts w:ascii="Times New Roman" w:hAnsi="Times New Roman"/>
          <w:b/>
          <w:bCs/>
          <w:kern w:val="0"/>
          <w:sz w:val="28"/>
          <w:szCs w:val="28"/>
          <w:shd w:val="clear" w:color="auto" w:fill="F4B898"/>
          <w:lang w:val="en-US"/>
        </w:rPr>
        <w:t xml:space="preserve"> </w:t>
      </w:r>
      <w:r>
        <w:rPr>
          <w:rStyle w:val="a0"/>
          <w:rFonts w:ascii="Times New Roman" w:hAnsi="Times New Roman"/>
          <w:b/>
          <w:bCs/>
          <w:kern w:val="0"/>
          <w:sz w:val="28"/>
          <w:szCs w:val="28"/>
        </w:rPr>
        <w:t>сөздер</w:t>
      </w:r>
      <w:r w:rsidRPr="00EF6D5D">
        <w:rPr>
          <w:rStyle w:val="a0"/>
          <w:rFonts w:ascii="Times New Roman" w:hAnsi="Times New Roman"/>
          <w:b/>
          <w:bCs/>
          <w:kern w:val="0"/>
          <w:sz w:val="28"/>
          <w:szCs w:val="28"/>
          <w:lang w:val="en-US"/>
        </w:rPr>
        <w:t>:</w:t>
      </w:r>
      <w:r w:rsidRPr="00EF6D5D">
        <w:rPr>
          <w:rStyle w:val="a0"/>
          <w:rFonts w:ascii="Times New Roman" w:hAnsi="Times New Roman"/>
          <w:kern w:val="0"/>
          <w:sz w:val="28"/>
          <w:szCs w:val="28"/>
          <w:lang w:val="en-US"/>
        </w:rPr>
        <w:t xml:space="preserve"> </w:t>
      </w:r>
      <w:r w:rsidRPr="00EF6D5D">
        <w:rPr>
          <w:rStyle w:val="a0"/>
          <w:rFonts w:ascii="Times New Roman" w:hAnsi="Times New Roman"/>
          <w:i/>
          <w:iCs/>
          <w:kern w:val="0"/>
          <w:sz w:val="28"/>
          <w:szCs w:val="28"/>
          <w:lang w:val="en-US"/>
        </w:rPr>
        <w:t>Cicer arietinum,</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сақтау</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саңырауқұлақтары</w:t>
      </w:r>
      <w:r w:rsidRPr="00EF6D5D">
        <w:rPr>
          <w:rStyle w:val="a0"/>
          <w:rFonts w:ascii="Times New Roman" w:hAnsi="Times New Roman"/>
          <w:kern w:val="0"/>
          <w:sz w:val="28"/>
          <w:szCs w:val="28"/>
          <w:lang w:val="en-US"/>
        </w:rPr>
        <w:t xml:space="preserve">, </w:t>
      </w:r>
      <w:r w:rsidRPr="00EF6D5D">
        <w:rPr>
          <w:rStyle w:val="a0"/>
          <w:rFonts w:ascii="Times New Roman" w:hAnsi="Times New Roman"/>
          <w:i/>
          <w:iCs/>
          <w:kern w:val="0"/>
          <w:sz w:val="28"/>
          <w:szCs w:val="28"/>
          <w:lang w:val="en-US"/>
        </w:rPr>
        <w:t>Aspergillus niger</w:t>
      </w:r>
      <w:r w:rsidRPr="00EF6D5D">
        <w:rPr>
          <w:rStyle w:val="a0"/>
          <w:rFonts w:ascii="Times New Roman" w:hAnsi="Times New Roman"/>
          <w:kern w:val="0"/>
          <w:sz w:val="28"/>
          <w:szCs w:val="28"/>
          <w:lang w:val="en-US"/>
        </w:rPr>
        <w:t xml:space="preserve">, </w:t>
      </w:r>
      <w:r w:rsidRPr="00EF6D5D">
        <w:rPr>
          <w:rStyle w:val="a0"/>
          <w:rFonts w:ascii="Times New Roman" w:hAnsi="Times New Roman"/>
          <w:i/>
          <w:iCs/>
          <w:kern w:val="0"/>
          <w:sz w:val="28"/>
          <w:szCs w:val="28"/>
          <w:lang w:val="en-US"/>
        </w:rPr>
        <w:t>Aspergillus fumigatus</w:t>
      </w:r>
      <w:r w:rsidRPr="00EF6D5D">
        <w:rPr>
          <w:rStyle w:val="a0"/>
          <w:rFonts w:ascii="Times New Roman" w:hAnsi="Times New Roman"/>
          <w:kern w:val="0"/>
          <w:sz w:val="28"/>
          <w:szCs w:val="28"/>
          <w:lang w:val="en-US"/>
        </w:rPr>
        <w:t xml:space="preserve">, ITS </w:t>
      </w:r>
      <w:r>
        <w:rPr>
          <w:rStyle w:val="a0"/>
          <w:rFonts w:ascii="Times New Roman" w:hAnsi="Times New Roman"/>
          <w:kern w:val="0"/>
          <w:sz w:val="28"/>
          <w:szCs w:val="28"/>
        </w:rPr>
        <w:t>рДНҚ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фитосанитариялық</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мониторинг</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егін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жинаудан</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кейінгі</w:t>
      </w:r>
      <w:r w:rsidRPr="00EF6D5D">
        <w:rPr>
          <w:rStyle w:val="a0"/>
          <w:rFonts w:ascii="Times New Roman" w:hAnsi="Times New Roman"/>
          <w:kern w:val="0"/>
          <w:sz w:val="28"/>
          <w:szCs w:val="28"/>
          <w:lang w:val="en-US"/>
        </w:rPr>
        <w:t xml:space="preserve"> </w:t>
      </w:r>
      <w:r>
        <w:rPr>
          <w:rStyle w:val="a0"/>
          <w:rFonts w:ascii="Times New Roman" w:hAnsi="Times New Roman"/>
          <w:kern w:val="0"/>
          <w:sz w:val="28"/>
          <w:szCs w:val="28"/>
        </w:rPr>
        <w:t>сапа</w:t>
      </w:r>
    </w:p>
    <w:p w14:paraId="6941E84E" w14:textId="77777777" w:rsidR="00D923CF" w:rsidRPr="00EF6D5D" w:rsidRDefault="00D923CF" w:rsidP="00D923CF">
      <w:pPr>
        <w:spacing w:after="0" w:line="240" w:lineRule="auto"/>
        <w:jc w:val="both"/>
        <w:rPr>
          <w:rStyle w:val="a0"/>
          <w:rFonts w:ascii="Times New Roman" w:eastAsia="Times New Roman" w:hAnsi="Times New Roman"/>
          <w:sz w:val="28"/>
          <w:szCs w:val="28"/>
          <w:lang w:val="en-US"/>
        </w:rPr>
      </w:pPr>
    </w:p>
    <w:p w14:paraId="2079D519" w14:textId="77777777" w:rsidR="00D923CF" w:rsidRDefault="00D923CF" w:rsidP="00D923CF">
      <w:pPr>
        <w:spacing w:after="0" w:line="240" w:lineRule="auto"/>
        <w:jc w:val="center"/>
        <w:rPr>
          <w:rStyle w:val="a0"/>
          <w:rFonts w:ascii="Times New Roman" w:eastAsia="Times New Roman" w:hAnsi="Times New Roman"/>
          <w:b/>
          <w:bCs/>
          <w:kern w:val="0"/>
          <w:sz w:val="28"/>
          <w:szCs w:val="28"/>
        </w:rPr>
      </w:pPr>
      <w:r>
        <w:rPr>
          <w:rStyle w:val="a0"/>
          <w:rFonts w:ascii="Times New Roman" w:hAnsi="Times New Roman"/>
          <w:b/>
          <w:bCs/>
          <w:kern w:val="0"/>
          <w:sz w:val="28"/>
          <w:szCs w:val="28"/>
        </w:rPr>
        <w:t xml:space="preserve">Молекулярная идентификация и разнообразие грибов хранения </w:t>
      </w:r>
      <w:r>
        <w:rPr>
          <w:rStyle w:val="a0"/>
          <w:rFonts w:ascii="Times New Roman" w:hAnsi="Times New Roman"/>
          <w:b/>
          <w:bCs/>
          <w:i/>
          <w:iCs/>
          <w:kern w:val="0"/>
          <w:sz w:val="28"/>
          <w:szCs w:val="28"/>
        </w:rPr>
        <w:t xml:space="preserve">Aspergillus </w:t>
      </w:r>
      <w:r>
        <w:rPr>
          <w:rStyle w:val="a0"/>
          <w:rFonts w:ascii="Times New Roman" w:hAnsi="Times New Roman"/>
          <w:b/>
          <w:bCs/>
          <w:kern w:val="0"/>
          <w:sz w:val="28"/>
          <w:szCs w:val="28"/>
        </w:rPr>
        <w:t>в семенах нута в Акмолинской области Казахстана</w:t>
      </w:r>
    </w:p>
    <w:p w14:paraId="7CF0F4F9" w14:textId="77777777" w:rsidR="00D923CF" w:rsidRDefault="00D923CF" w:rsidP="00D923CF">
      <w:pPr>
        <w:spacing w:after="0" w:line="240" w:lineRule="auto"/>
        <w:jc w:val="center"/>
        <w:rPr>
          <w:rStyle w:val="a0"/>
          <w:rFonts w:ascii="Times New Roman" w:eastAsia="Times New Roman" w:hAnsi="Times New Roman"/>
          <w:b/>
          <w:bCs/>
          <w:sz w:val="28"/>
          <w:szCs w:val="28"/>
        </w:rPr>
      </w:pPr>
    </w:p>
    <w:p w14:paraId="42F2ECF1" w14:textId="77777777" w:rsidR="00D923CF" w:rsidRDefault="00D923CF" w:rsidP="00D923CF">
      <w:pPr>
        <w:spacing w:after="0" w:line="240" w:lineRule="auto"/>
        <w:jc w:val="center"/>
        <w:rPr>
          <w:rStyle w:val="a0"/>
          <w:rFonts w:ascii="Times New Roman" w:eastAsia="Times New Roman" w:hAnsi="Times New Roman"/>
          <w:b/>
          <w:bCs/>
          <w:sz w:val="28"/>
          <w:szCs w:val="28"/>
        </w:rPr>
      </w:pPr>
      <w:r>
        <w:rPr>
          <w:rStyle w:val="a0"/>
          <w:rFonts w:ascii="Times New Roman" w:hAnsi="Times New Roman"/>
          <w:b/>
          <w:bCs/>
          <w:sz w:val="28"/>
          <w:szCs w:val="28"/>
        </w:rPr>
        <w:t>Р.С. Уахит</w:t>
      </w:r>
      <w:r>
        <w:rPr>
          <w:rStyle w:val="a0"/>
          <w:rFonts w:ascii="Times New Roman" w:hAnsi="Times New Roman"/>
          <w:b/>
          <w:bCs/>
          <w:sz w:val="28"/>
          <w:szCs w:val="28"/>
          <w:vertAlign w:val="superscript"/>
        </w:rPr>
        <w:t>1</w:t>
      </w:r>
      <w:r>
        <w:rPr>
          <w:rStyle w:val="a0"/>
          <w:rFonts w:ascii="Times New Roman" w:hAnsi="Times New Roman"/>
          <w:b/>
          <w:bCs/>
          <w:sz w:val="28"/>
          <w:szCs w:val="28"/>
        </w:rPr>
        <w:t>, А.М. Смагулова</w:t>
      </w:r>
      <w:r>
        <w:rPr>
          <w:rStyle w:val="a0"/>
          <w:rFonts w:ascii="Times New Roman" w:hAnsi="Times New Roman"/>
          <w:b/>
          <w:bCs/>
          <w:sz w:val="28"/>
          <w:szCs w:val="28"/>
          <w:vertAlign w:val="superscript"/>
        </w:rPr>
        <w:t>1</w:t>
      </w:r>
      <w:r>
        <w:rPr>
          <w:rStyle w:val="a0"/>
          <w:rFonts w:ascii="Times New Roman" w:hAnsi="Times New Roman"/>
          <w:b/>
          <w:bCs/>
          <w:sz w:val="28"/>
          <w:szCs w:val="28"/>
        </w:rPr>
        <w:t>, А.С. Абаш</w:t>
      </w:r>
      <w:r>
        <w:rPr>
          <w:rStyle w:val="a0"/>
          <w:rFonts w:ascii="Times New Roman" w:hAnsi="Times New Roman"/>
          <w:b/>
          <w:bCs/>
          <w:sz w:val="28"/>
          <w:szCs w:val="28"/>
          <w:vertAlign w:val="superscript"/>
        </w:rPr>
        <w:t>2</w:t>
      </w:r>
      <w:r>
        <w:rPr>
          <w:rStyle w:val="a0"/>
          <w:rFonts w:ascii="Times New Roman" w:hAnsi="Times New Roman"/>
          <w:b/>
          <w:bCs/>
          <w:sz w:val="28"/>
          <w:szCs w:val="28"/>
        </w:rPr>
        <w:t>, В.С. Киян</w:t>
      </w:r>
      <w:r>
        <w:rPr>
          <w:rStyle w:val="a0"/>
          <w:rFonts w:ascii="Times New Roman" w:hAnsi="Times New Roman"/>
          <w:b/>
          <w:bCs/>
          <w:sz w:val="28"/>
          <w:szCs w:val="28"/>
          <w:vertAlign w:val="superscript"/>
        </w:rPr>
        <w:t>1</w:t>
      </w:r>
      <w:r>
        <w:rPr>
          <w:rStyle w:val="a0"/>
          <w:rFonts w:ascii="Times New Roman" w:hAnsi="Times New Roman"/>
          <w:b/>
          <w:bCs/>
          <w:sz w:val="28"/>
          <w:szCs w:val="28"/>
        </w:rPr>
        <w:t>, К.А. Дюсембаев</w:t>
      </w:r>
      <w:r>
        <w:rPr>
          <w:rStyle w:val="a0"/>
          <w:rFonts w:ascii="Times New Roman" w:hAnsi="Times New Roman"/>
          <w:b/>
          <w:bCs/>
          <w:sz w:val="28"/>
          <w:szCs w:val="28"/>
          <w:vertAlign w:val="superscript"/>
        </w:rPr>
        <w:t>1,3*</w:t>
      </w:r>
    </w:p>
    <w:p w14:paraId="7C78B662" w14:textId="77777777" w:rsidR="00D923CF" w:rsidRDefault="00D923CF" w:rsidP="00D923CF">
      <w:pPr>
        <w:spacing w:after="0" w:line="240" w:lineRule="auto"/>
        <w:jc w:val="center"/>
        <w:rPr>
          <w:rStyle w:val="a0"/>
          <w:rFonts w:ascii="Times New Roman" w:eastAsia="Times New Roman" w:hAnsi="Times New Roman"/>
          <w:sz w:val="28"/>
          <w:szCs w:val="28"/>
        </w:rPr>
      </w:pPr>
    </w:p>
    <w:p w14:paraId="3DF9CFD4" w14:textId="77777777" w:rsidR="00D923CF" w:rsidRDefault="00D923CF" w:rsidP="00D923CF">
      <w:pPr>
        <w:spacing w:after="0" w:line="240" w:lineRule="auto"/>
        <w:jc w:val="center"/>
        <w:rPr>
          <w:rStyle w:val="a0"/>
          <w:rFonts w:ascii="Times New Roman" w:eastAsia="Times New Roman" w:hAnsi="Times New Roman"/>
          <w:i/>
          <w:iCs/>
          <w:sz w:val="28"/>
          <w:szCs w:val="28"/>
        </w:rPr>
      </w:pPr>
      <w:r>
        <w:rPr>
          <w:rStyle w:val="a0"/>
          <w:rFonts w:ascii="Times New Roman" w:hAnsi="Times New Roman"/>
          <w:i/>
          <w:iCs/>
          <w:sz w:val="28"/>
          <w:szCs w:val="28"/>
          <w:vertAlign w:val="superscript"/>
        </w:rPr>
        <w:t>1</w:t>
      </w:r>
      <w:r>
        <w:rPr>
          <w:rStyle w:val="a0"/>
          <w:rFonts w:ascii="Times New Roman" w:hAnsi="Times New Roman"/>
          <w:i/>
          <w:iCs/>
          <w:sz w:val="28"/>
          <w:szCs w:val="28"/>
        </w:rPr>
        <w:t>Лаборатория биоразнообразия и генетических ресурсов, Национальный центр биотехнологии, Астана, Казахстан;</w:t>
      </w:r>
    </w:p>
    <w:p w14:paraId="33A6C604" w14:textId="77777777" w:rsidR="00D923CF" w:rsidRDefault="00D923CF" w:rsidP="00D923CF">
      <w:pPr>
        <w:spacing w:after="0" w:line="240" w:lineRule="auto"/>
        <w:jc w:val="center"/>
        <w:rPr>
          <w:rStyle w:val="a0"/>
          <w:rFonts w:ascii="Times New Roman" w:eastAsia="Times New Roman" w:hAnsi="Times New Roman"/>
          <w:i/>
          <w:iCs/>
          <w:sz w:val="28"/>
          <w:szCs w:val="28"/>
        </w:rPr>
      </w:pPr>
      <w:r>
        <w:rPr>
          <w:rStyle w:val="a0"/>
          <w:rFonts w:ascii="Times New Roman" w:hAnsi="Times New Roman"/>
          <w:i/>
          <w:iCs/>
          <w:sz w:val="28"/>
          <w:szCs w:val="28"/>
          <w:vertAlign w:val="superscript"/>
        </w:rPr>
        <w:t>2</w:t>
      </w:r>
      <w:r>
        <w:rPr>
          <w:rStyle w:val="a0"/>
          <w:rFonts w:ascii="Times New Roman" w:hAnsi="Times New Roman"/>
          <w:i/>
          <w:iCs/>
          <w:sz w:val="28"/>
          <w:szCs w:val="28"/>
        </w:rPr>
        <w:t>Высшая школа естественных наук, Международный университет Астана, Астана, Казахстан;</w:t>
      </w:r>
    </w:p>
    <w:p w14:paraId="200764AB" w14:textId="77777777" w:rsidR="00D923CF" w:rsidRDefault="00D923CF" w:rsidP="00D923CF">
      <w:pPr>
        <w:spacing w:after="0" w:line="240" w:lineRule="auto"/>
        <w:jc w:val="center"/>
        <w:rPr>
          <w:rStyle w:val="a0"/>
          <w:rFonts w:ascii="Times New Roman" w:eastAsia="Times New Roman" w:hAnsi="Times New Roman"/>
          <w:i/>
          <w:iCs/>
          <w:sz w:val="28"/>
          <w:szCs w:val="28"/>
        </w:rPr>
      </w:pPr>
      <w:r>
        <w:rPr>
          <w:rStyle w:val="a0"/>
          <w:rFonts w:ascii="Times New Roman" w:hAnsi="Times New Roman"/>
          <w:i/>
          <w:iCs/>
          <w:sz w:val="28"/>
          <w:szCs w:val="28"/>
          <w:vertAlign w:val="superscript"/>
        </w:rPr>
        <w:t>3</w:t>
      </w:r>
      <w:r>
        <w:rPr>
          <w:rStyle w:val="a0"/>
          <w:rFonts w:ascii="Times New Roman" w:hAnsi="Times New Roman"/>
          <w:i/>
          <w:iCs/>
          <w:sz w:val="28"/>
          <w:szCs w:val="28"/>
        </w:rPr>
        <w:t>Кафедра биотехнологии и микробиологии, Евразийский национальный университет имени Л.Н. Гумилева, Астана, Казахстан</w:t>
      </w:r>
    </w:p>
    <w:p w14:paraId="56ADA619" w14:textId="77777777" w:rsidR="00D923CF" w:rsidRDefault="00D923CF" w:rsidP="00D923CF">
      <w:pPr>
        <w:spacing w:after="0" w:line="240" w:lineRule="auto"/>
        <w:jc w:val="center"/>
        <w:rPr>
          <w:rStyle w:val="a0"/>
          <w:rFonts w:ascii="Times New Roman" w:eastAsia="Times New Roman" w:hAnsi="Times New Roman"/>
          <w:i/>
          <w:iCs/>
          <w:sz w:val="28"/>
          <w:szCs w:val="28"/>
        </w:rPr>
      </w:pPr>
    </w:p>
    <w:p w14:paraId="5EC9ECD7" w14:textId="77777777" w:rsidR="00D923CF" w:rsidRDefault="00D923CF" w:rsidP="00D923CF">
      <w:pPr>
        <w:spacing w:after="0" w:line="240" w:lineRule="auto"/>
        <w:ind w:right="142"/>
        <w:jc w:val="center"/>
        <w:rPr>
          <w:rStyle w:val="Hyperlink0"/>
          <w:rFonts w:eastAsia="Aptos"/>
        </w:rPr>
      </w:pPr>
      <w:r>
        <w:rPr>
          <w:rStyle w:val="Hyperlink0"/>
          <w:rFonts w:eastAsia="Aptos"/>
        </w:rPr>
        <w:t>E-mail: erken.uakhitrabiga@gmail.com</w:t>
      </w:r>
      <w:r>
        <w:rPr>
          <w:rStyle w:val="a0"/>
          <w:rFonts w:ascii="Times New Roman" w:hAnsi="Times New Roman"/>
          <w:i/>
          <w:iCs/>
          <w:kern w:val="0"/>
          <w:sz w:val="24"/>
          <w:szCs w:val="24"/>
          <w:vertAlign w:val="superscript"/>
          <w:lang w:val="en-US"/>
        </w:rPr>
        <w:t>1</w:t>
      </w:r>
      <w:r>
        <w:rPr>
          <w:rStyle w:val="Hyperlink0"/>
          <w:rFonts w:eastAsia="Aptos"/>
        </w:rPr>
        <w:t xml:space="preserve">, </w:t>
      </w:r>
      <w:hyperlink r:id="rId42" w:history="1">
        <w:r>
          <w:rPr>
            <w:rStyle w:val="Hyperlink0"/>
            <w:rFonts w:eastAsia="Aptos"/>
          </w:rPr>
          <w:t>smagulova0114@gmail.com</w:t>
        </w:r>
      </w:hyperlink>
      <w:r>
        <w:rPr>
          <w:rStyle w:val="a0"/>
          <w:rFonts w:ascii="Times New Roman" w:hAnsi="Times New Roman"/>
          <w:i/>
          <w:iCs/>
          <w:kern w:val="0"/>
          <w:sz w:val="24"/>
          <w:szCs w:val="24"/>
          <w:vertAlign w:val="superscript"/>
          <w:lang w:val="en-US"/>
        </w:rPr>
        <w:t>2</w:t>
      </w:r>
      <w:r>
        <w:rPr>
          <w:rStyle w:val="Hyperlink0"/>
          <w:rFonts w:eastAsia="Aptos"/>
        </w:rPr>
        <w:t>, altın_jan82mail.ru</w:t>
      </w:r>
      <w:r>
        <w:rPr>
          <w:rStyle w:val="a0"/>
          <w:rFonts w:ascii="Times New Roman" w:hAnsi="Times New Roman"/>
          <w:i/>
          <w:iCs/>
          <w:kern w:val="0"/>
          <w:sz w:val="24"/>
          <w:szCs w:val="24"/>
          <w:vertAlign w:val="superscript"/>
          <w:lang w:val="en-US"/>
        </w:rPr>
        <w:t>3</w:t>
      </w:r>
      <w:r>
        <w:rPr>
          <w:rStyle w:val="Hyperlink0"/>
          <w:rFonts w:eastAsia="Aptos"/>
        </w:rPr>
        <w:t>, vskiyan@gmail.com</w:t>
      </w:r>
      <w:r>
        <w:rPr>
          <w:rStyle w:val="a0"/>
          <w:rFonts w:ascii="Times New Roman" w:hAnsi="Times New Roman"/>
          <w:i/>
          <w:iCs/>
          <w:kern w:val="0"/>
          <w:sz w:val="24"/>
          <w:szCs w:val="24"/>
          <w:vertAlign w:val="superscript"/>
          <w:lang w:val="en-US"/>
        </w:rPr>
        <w:t>4</w:t>
      </w:r>
      <w:r>
        <w:rPr>
          <w:rStyle w:val="Hyperlink0"/>
          <w:rFonts w:eastAsia="Aptos"/>
        </w:rPr>
        <w:t xml:space="preserve">, </w:t>
      </w:r>
      <w:hyperlink r:id="rId43" w:history="1">
        <w:r>
          <w:rPr>
            <w:rStyle w:val="Hyperlink0"/>
            <w:rFonts w:eastAsia="Aptos"/>
          </w:rPr>
          <w:t>dyussembayev@biocenter.kz</w:t>
        </w:r>
      </w:hyperlink>
      <w:r>
        <w:rPr>
          <w:rStyle w:val="a0"/>
          <w:rFonts w:ascii="Times New Roman" w:hAnsi="Times New Roman"/>
          <w:i/>
          <w:iCs/>
          <w:kern w:val="0"/>
          <w:sz w:val="24"/>
          <w:szCs w:val="24"/>
          <w:vertAlign w:val="superscript"/>
          <w:lang w:val="en-US"/>
        </w:rPr>
        <w:t>5</w:t>
      </w:r>
    </w:p>
    <w:p w14:paraId="038FD332" w14:textId="77777777" w:rsidR="00D923CF" w:rsidRDefault="00D923CF" w:rsidP="00D923CF">
      <w:pPr>
        <w:spacing w:after="0" w:line="240" w:lineRule="auto"/>
        <w:jc w:val="center"/>
        <w:rPr>
          <w:rStyle w:val="a0"/>
          <w:rFonts w:ascii="Times New Roman" w:eastAsia="Times New Roman" w:hAnsi="Times New Roman"/>
          <w:sz w:val="28"/>
          <w:szCs w:val="28"/>
          <w:lang w:val="en-US"/>
        </w:rPr>
      </w:pPr>
    </w:p>
    <w:p w14:paraId="3FA5C589" w14:textId="77777777" w:rsidR="00D923CF" w:rsidRDefault="00D923CF" w:rsidP="00D923CF">
      <w:pPr>
        <w:tabs>
          <w:tab w:val="left" w:pos="993"/>
        </w:tabs>
        <w:spacing w:after="0" w:line="240" w:lineRule="auto"/>
        <w:jc w:val="both"/>
        <w:rPr>
          <w:rStyle w:val="a0"/>
          <w:rFonts w:ascii="Times New Roman" w:eastAsia="Times New Roman" w:hAnsi="Times New Roman"/>
          <w:kern w:val="0"/>
          <w:sz w:val="28"/>
          <w:szCs w:val="28"/>
        </w:rPr>
      </w:pPr>
      <w:r>
        <w:rPr>
          <w:rStyle w:val="a0"/>
          <w:rFonts w:ascii="Times New Roman" w:hAnsi="Times New Roman"/>
          <w:b/>
          <w:bCs/>
          <w:kern w:val="0"/>
          <w:sz w:val="28"/>
          <w:szCs w:val="28"/>
        </w:rPr>
        <w:lastRenderedPageBreak/>
        <w:t>Аннотация.</w:t>
      </w:r>
      <w:r>
        <w:rPr>
          <w:rStyle w:val="a0"/>
          <w:rFonts w:ascii="Times New Roman" w:hAnsi="Times New Roman"/>
          <w:kern w:val="0"/>
          <w:sz w:val="28"/>
          <w:szCs w:val="28"/>
        </w:rPr>
        <w:t xml:space="preserve"> Нут (</w:t>
      </w:r>
      <w:r>
        <w:rPr>
          <w:rStyle w:val="a0"/>
          <w:rFonts w:ascii="Times New Roman" w:hAnsi="Times New Roman"/>
          <w:i/>
          <w:iCs/>
          <w:kern w:val="0"/>
          <w:sz w:val="28"/>
          <w:szCs w:val="28"/>
          <w:lang w:val="en-US"/>
        </w:rPr>
        <w:t>Cicer</w:t>
      </w:r>
      <w:r>
        <w:rPr>
          <w:rStyle w:val="a0"/>
          <w:rFonts w:ascii="Times New Roman" w:hAnsi="Times New Roman"/>
          <w:i/>
          <w:iCs/>
          <w:kern w:val="0"/>
          <w:sz w:val="28"/>
          <w:szCs w:val="28"/>
        </w:rPr>
        <w:t xml:space="preserve"> </w:t>
      </w:r>
      <w:r>
        <w:rPr>
          <w:rStyle w:val="a0"/>
          <w:rFonts w:ascii="Times New Roman" w:hAnsi="Times New Roman"/>
          <w:i/>
          <w:iCs/>
          <w:kern w:val="0"/>
          <w:sz w:val="28"/>
          <w:szCs w:val="28"/>
          <w:lang w:val="en-US"/>
        </w:rPr>
        <w:t>arietinum</w:t>
      </w:r>
      <w:r>
        <w:rPr>
          <w:rStyle w:val="a0"/>
          <w:rFonts w:ascii="Times New Roman" w:hAnsi="Times New Roman"/>
          <w:i/>
          <w:iCs/>
          <w:kern w:val="0"/>
          <w:sz w:val="28"/>
          <w:szCs w:val="28"/>
        </w:rPr>
        <w:t xml:space="preserve"> </w:t>
      </w:r>
      <w:r>
        <w:rPr>
          <w:rStyle w:val="a0"/>
          <w:rFonts w:ascii="Times New Roman" w:hAnsi="Times New Roman"/>
          <w:i/>
          <w:iCs/>
          <w:kern w:val="0"/>
          <w:sz w:val="28"/>
          <w:szCs w:val="28"/>
          <w:lang w:val="en-US"/>
        </w:rPr>
        <w:t>L</w:t>
      </w:r>
      <w:r>
        <w:rPr>
          <w:rStyle w:val="a0"/>
          <w:rFonts w:ascii="Times New Roman" w:hAnsi="Times New Roman"/>
          <w:i/>
          <w:iCs/>
          <w:kern w:val="0"/>
          <w:sz w:val="28"/>
          <w:szCs w:val="28"/>
        </w:rPr>
        <w:t>.</w:t>
      </w:r>
      <w:r>
        <w:rPr>
          <w:rStyle w:val="a0"/>
          <w:rFonts w:ascii="Times New Roman" w:hAnsi="Times New Roman"/>
          <w:kern w:val="0"/>
          <w:sz w:val="28"/>
          <w:szCs w:val="28"/>
        </w:rPr>
        <w:t xml:space="preserve">) – важная зернобобовая культура, послеуборочное качество которой часто снижается из-за оппортунистических грибов хранения, что приводит к экономическим потерям и потенциальным рискам для здоровья в связи с контаминацией микотоксинами. Несмотря на его сельскохозяйственное значение, информация о грибах хранения, поражающих семена нута в Казахстане, остается ограниченной. Целью данного исследования было выделение и идентификация видов </w:t>
      </w:r>
      <w:r>
        <w:rPr>
          <w:rStyle w:val="a0"/>
          <w:rFonts w:ascii="Times New Roman" w:hAnsi="Times New Roman"/>
          <w:i/>
          <w:iCs/>
          <w:kern w:val="0"/>
          <w:sz w:val="28"/>
          <w:szCs w:val="28"/>
          <w:lang w:val="en-US"/>
        </w:rPr>
        <w:t>Aspergillus</w:t>
      </w:r>
      <w:r>
        <w:rPr>
          <w:rStyle w:val="a0"/>
          <w:rFonts w:ascii="Times New Roman" w:hAnsi="Times New Roman"/>
          <w:kern w:val="0"/>
          <w:sz w:val="28"/>
          <w:szCs w:val="28"/>
        </w:rPr>
        <w:t>, контаминирующих семена нута, выращенного в Акмолинской области. Было оценено более 200 образцов семян, полученных из местного сельскохозяйственного производства. После первичного микробиологического анализа и микроскопического исследования была проведена точная молекулярная идентификация путем амплификации и секвенирования региона внутреннего транскрибируемого спейсера (</w:t>
      </w:r>
      <w:r>
        <w:rPr>
          <w:rStyle w:val="a0"/>
          <w:rFonts w:ascii="Times New Roman" w:hAnsi="Times New Roman"/>
          <w:kern w:val="0"/>
          <w:sz w:val="28"/>
          <w:szCs w:val="28"/>
          <w:lang w:val="en-US"/>
        </w:rPr>
        <w:t>ITS</w:t>
      </w:r>
      <w:r>
        <w:rPr>
          <w:rStyle w:val="a0"/>
          <w:rFonts w:ascii="Times New Roman" w:hAnsi="Times New Roman"/>
          <w:kern w:val="0"/>
          <w:sz w:val="28"/>
          <w:szCs w:val="28"/>
        </w:rPr>
        <w:t xml:space="preserve">) рибосомной ДНК. Филогенетический анализ полученных последовательностей подтвердил наличие двух различных видов: </w:t>
      </w:r>
      <w:r>
        <w:rPr>
          <w:rStyle w:val="a0"/>
          <w:rFonts w:ascii="Times New Roman" w:hAnsi="Times New Roman"/>
          <w:i/>
          <w:iCs/>
          <w:kern w:val="0"/>
          <w:sz w:val="28"/>
          <w:szCs w:val="28"/>
          <w:lang w:val="en-US"/>
        </w:rPr>
        <w:t>Aspergillus</w:t>
      </w:r>
      <w:r>
        <w:rPr>
          <w:rStyle w:val="a0"/>
          <w:rFonts w:ascii="Times New Roman" w:hAnsi="Times New Roman"/>
          <w:i/>
          <w:iCs/>
          <w:kern w:val="0"/>
          <w:sz w:val="28"/>
          <w:szCs w:val="28"/>
        </w:rPr>
        <w:t xml:space="preserve"> </w:t>
      </w:r>
      <w:r>
        <w:rPr>
          <w:rStyle w:val="a0"/>
          <w:rFonts w:ascii="Times New Roman" w:hAnsi="Times New Roman"/>
          <w:i/>
          <w:iCs/>
          <w:kern w:val="0"/>
          <w:sz w:val="28"/>
          <w:szCs w:val="28"/>
          <w:lang w:val="en-US"/>
        </w:rPr>
        <w:t>niger</w:t>
      </w:r>
      <w:r>
        <w:rPr>
          <w:rStyle w:val="a0"/>
          <w:rFonts w:ascii="Times New Roman" w:hAnsi="Times New Roman"/>
          <w:kern w:val="0"/>
          <w:sz w:val="28"/>
          <w:szCs w:val="28"/>
        </w:rPr>
        <w:t xml:space="preserve"> и </w:t>
      </w:r>
      <w:r>
        <w:rPr>
          <w:rStyle w:val="a0"/>
          <w:rFonts w:ascii="Times New Roman" w:hAnsi="Times New Roman"/>
          <w:i/>
          <w:iCs/>
          <w:kern w:val="0"/>
          <w:sz w:val="28"/>
          <w:szCs w:val="28"/>
          <w:lang w:val="en-US"/>
        </w:rPr>
        <w:t>Aspergillus</w:t>
      </w:r>
      <w:r>
        <w:rPr>
          <w:rStyle w:val="a0"/>
          <w:rFonts w:ascii="Times New Roman" w:hAnsi="Times New Roman"/>
          <w:i/>
          <w:iCs/>
          <w:kern w:val="0"/>
          <w:sz w:val="28"/>
          <w:szCs w:val="28"/>
        </w:rPr>
        <w:t xml:space="preserve"> </w:t>
      </w:r>
      <w:r>
        <w:rPr>
          <w:rStyle w:val="a0"/>
          <w:rFonts w:ascii="Times New Roman" w:hAnsi="Times New Roman"/>
          <w:i/>
          <w:iCs/>
          <w:kern w:val="0"/>
          <w:sz w:val="28"/>
          <w:szCs w:val="28"/>
          <w:lang w:val="en-US"/>
        </w:rPr>
        <w:t>fumigatus</w:t>
      </w:r>
      <w:r>
        <w:rPr>
          <w:rStyle w:val="a0"/>
          <w:rFonts w:ascii="Times New Roman" w:hAnsi="Times New Roman"/>
          <w:kern w:val="0"/>
          <w:sz w:val="28"/>
          <w:szCs w:val="28"/>
        </w:rPr>
        <w:t>. Выделение этих повсеместно распространенных сапрофитов указывает на значительное размножение послеуборочных грибов, усугубляемое местными климатическими факторами и микроклиматом хранилищ. Эти результаты выявляют значительную уязвимость в региональной послеуборочной инфраструктуре и подчеркивают необходимость строгого фитосанитарного мониторинга. Внедрение улучшенных, устойчивых стратегий управления хранением имеет решающее значение для снижения грибковой контаминации и обеспечения безопасности местной сельскохозяйственной продукции.</w:t>
      </w:r>
    </w:p>
    <w:p w14:paraId="5597DE3A" w14:textId="77777777" w:rsidR="00D923CF" w:rsidRDefault="00D923CF" w:rsidP="00D923CF">
      <w:pPr>
        <w:tabs>
          <w:tab w:val="left" w:pos="993"/>
        </w:tabs>
        <w:spacing w:after="0" w:line="240" w:lineRule="auto"/>
        <w:jc w:val="both"/>
        <w:rPr>
          <w:rStyle w:val="a0"/>
          <w:rFonts w:ascii="Times New Roman" w:eastAsia="Times New Roman" w:hAnsi="Times New Roman"/>
          <w:kern w:val="0"/>
          <w:sz w:val="28"/>
          <w:szCs w:val="28"/>
        </w:rPr>
      </w:pPr>
      <w:r>
        <w:rPr>
          <w:rStyle w:val="a0"/>
          <w:rFonts w:ascii="Times New Roman" w:hAnsi="Times New Roman"/>
          <w:b/>
          <w:bCs/>
          <w:kern w:val="0"/>
          <w:sz w:val="28"/>
          <w:szCs w:val="28"/>
        </w:rPr>
        <w:t>Ключевые слова:</w:t>
      </w:r>
      <w:r>
        <w:rPr>
          <w:rStyle w:val="a0"/>
          <w:rFonts w:ascii="Times New Roman" w:hAnsi="Times New Roman"/>
          <w:kern w:val="0"/>
          <w:sz w:val="28"/>
          <w:szCs w:val="28"/>
        </w:rPr>
        <w:t xml:space="preserve"> </w:t>
      </w:r>
      <w:r>
        <w:rPr>
          <w:rStyle w:val="a0"/>
          <w:rFonts w:ascii="Times New Roman" w:hAnsi="Times New Roman"/>
          <w:i/>
          <w:iCs/>
          <w:kern w:val="0"/>
          <w:sz w:val="28"/>
          <w:szCs w:val="28"/>
          <w:lang w:val="en-US"/>
        </w:rPr>
        <w:t>Cicer</w:t>
      </w:r>
      <w:r>
        <w:rPr>
          <w:rStyle w:val="a0"/>
          <w:rFonts w:ascii="Times New Roman" w:hAnsi="Times New Roman"/>
          <w:i/>
          <w:iCs/>
          <w:kern w:val="0"/>
          <w:sz w:val="28"/>
          <w:szCs w:val="28"/>
        </w:rPr>
        <w:t xml:space="preserve"> </w:t>
      </w:r>
      <w:r>
        <w:rPr>
          <w:rStyle w:val="a0"/>
          <w:rFonts w:ascii="Times New Roman" w:hAnsi="Times New Roman"/>
          <w:i/>
          <w:iCs/>
          <w:kern w:val="0"/>
          <w:sz w:val="28"/>
          <w:szCs w:val="28"/>
          <w:lang w:val="en-US"/>
        </w:rPr>
        <w:t>arietinum</w:t>
      </w:r>
      <w:r>
        <w:rPr>
          <w:rStyle w:val="a0"/>
          <w:rFonts w:ascii="Times New Roman" w:hAnsi="Times New Roman"/>
          <w:kern w:val="0"/>
          <w:sz w:val="28"/>
          <w:szCs w:val="28"/>
        </w:rPr>
        <w:t xml:space="preserve">, грибы хранения, </w:t>
      </w:r>
      <w:r>
        <w:rPr>
          <w:rStyle w:val="a0"/>
          <w:rFonts w:ascii="Times New Roman" w:hAnsi="Times New Roman"/>
          <w:i/>
          <w:iCs/>
          <w:kern w:val="0"/>
          <w:sz w:val="28"/>
          <w:szCs w:val="28"/>
          <w:lang w:val="en-US"/>
        </w:rPr>
        <w:t>Aspergillus</w:t>
      </w:r>
      <w:r>
        <w:rPr>
          <w:rStyle w:val="a0"/>
          <w:rFonts w:ascii="Times New Roman" w:hAnsi="Times New Roman"/>
          <w:i/>
          <w:iCs/>
          <w:kern w:val="0"/>
          <w:sz w:val="28"/>
          <w:szCs w:val="28"/>
        </w:rPr>
        <w:t xml:space="preserve"> </w:t>
      </w:r>
      <w:r>
        <w:rPr>
          <w:rStyle w:val="a0"/>
          <w:rFonts w:ascii="Times New Roman" w:hAnsi="Times New Roman"/>
          <w:i/>
          <w:iCs/>
          <w:kern w:val="0"/>
          <w:sz w:val="28"/>
          <w:szCs w:val="28"/>
          <w:lang w:val="en-US"/>
        </w:rPr>
        <w:t>niger</w:t>
      </w:r>
      <w:r>
        <w:rPr>
          <w:rStyle w:val="a0"/>
          <w:rFonts w:ascii="Times New Roman" w:hAnsi="Times New Roman"/>
          <w:kern w:val="0"/>
          <w:sz w:val="28"/>
          <w:szCs w:val="28"/>
        </w:rPr>
        <w:t xml:space="preserve">, </w:t>
      </w:r>
      <w:r>
        <w:rPr>
          <w:rStyle w:val="a0"/>
          <w:rFonts w:ascii="Times New Roman" w:hAnsi="Times New Roman"/>
          <w:i/>
          <w:iCs/>
          <w:kern w:val="0"/>
          <w:sz w:val="28"/>
          <w:szCs w:val="28"/>
          <w:lang w:val="en-US"/>
        </w:rPr>
        <w:t>Aspergillus</w:t>
      </w:r>
      <w:r>
        <w:rPr>
          <w:rStyle w:val="a0"/>
          <w:rFonts w:ascii="Times New Roman" w:hAnsi="Times New Roman"/>
          <w:i/>
          <w:iCs/>
          <w:kern w:val="0"/>
          <w:sz w:val="28"/>
          <w:szCs w:val="28"/>
        </w:rPr>
        <w:t xml:space="preserve"> </w:t>
      </w:r>
      <w:r>
        <w:rPr>
          <w:rStyle w:val="a0"/>
          <w:rFonts w:ascii="Times New Roman" w:hAnsi="Times New Roman"/>
          <w:i/>
          <w:iCs/>
          <w:kern w:val="0"/>
          <w:sz w:val="28"/>
          <w:szCs w:val="28"/>
          <w:lang w:val="en-US"/>
        </w:rPr>
        <w:t>fumigatus</w:t>
      </w:r>
      <w:r>
        <w:rPr>
          <w:rStyle w:val="a0"/>
          <w:rFonts w:ascii="Times New Roman" w:hAnsi="Times New Roman"/>
          <w:kern w:val="0"/>
          <w:sz w:val="28"/>
          <w:szCs w:val="28"/>
        </w:rPr>
        <w:t xml:space="preserve">, </w:t>
      </w:r>
      <w:r>
        <w:rPr>
          <w:rStyle w:val="a0"/>
          <w:rFonts w:ascii="Times New Roman" w:hAnsi="Times New Roman"/>
          <w:kern w:val="0"/>
          <w:sz w:val="28"/>
          <w:szCs w:val="28"/>
          <w:lang w:val="en-US"/>
        </w:rPr>
        <w:t>ITS</w:t>
      </w:r>
      <w:r>
        <w:rPr>
          <w:rStyle w:val="a0"/>
          <w:rFonts w:ascii="Times New Roman" w:hAnsi="Times New Roman"/>
          <w:kern w:val="0"/>
          <w:sz w:val="28"/>
          <w:szCs w:val="28"/>
        </w:rPr>
        <w:t xml:space="preserve"> рДНК, фитосанитарный мониторинг, послеуборочное качество</w:t>
      </w:r>
    </w:p>
    <w:p w14:paraId="3E353F85" w14:textId="77777777" w:rsidR="00D923CF" w:rsidRDefault="00D923CF" w:rsidP="00D923CF">
      <w:pPr>
        <w:spacing w:after="0" w:line="240" w:lineRule="auto"/>
        <w:ind w:firstLine="567"/>
        <w:jc w:val="both"/>
        <w:rPr>
          <w:rStyle w:val="a0"/>
          <w:rFonts w:ascii="Times New Roman" w:eastAsia="Times New Roman" w:hAnsi="Times New Roman"/>
          <w:sz w:val="28"/>
          <w:szCs w:val="28"/>
        </w:rPr>
      </w:pPr>
    </w:p>
    <w:p w14:paraId="1BD2B31A" w14:textId="77777777" w:rsidR="00D923CF" w:rsidRDefault="00D923CF" w:rsidP="00D923CF">
      <w:pPr>
        <w:spacing w:after="0" w:line="240" w:lineRule="auto"/>
        <w:ind w:firstLine="567"/>
        <w:jc w:val="both"/>
        <w:rPr>
          <w:rStyle w:val="a0"/>
          <w:rFonts w:ascii="Times New Roman" w:eastAsia="Times New Roman" w:hAnsi="Times New Roman"/>
          <w:b/>
          <w:bCs/>
          <w:kern w:val="0"/>
          <w:sz w:val="28"/>
          <w:szCs w:val="28"/>
        </w:rPr>
      </w:pPr>
      <w:r>
        <w:rPr>
          <w:rStyle w:val="a0"/>
          <w:rFonts w:ascii="Times New Roman" w:hAnsi="Times New Roman"/>
          <w:b/>
          <w:bCs/>
          <w:kern w:val="0"/>
          <w:sz w:val="28"/>
          <w:szCs w:val="28"/>
        </w:rPr>
        <w:t>Авторлар туралы мәлімет:</w:t>
      </w:r>
    </w:p>
    <w:p w14:paraId="7D2DA17E"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rPr>
      </w:pPr>
      <w:r>
        <w:rPr>
          <w:rStyle w:val="a0"/>
          <w:rFonts w:ascii="Times New Roman" w:hAnsi="Times New Roman"/>
          <w:b/>
          <w:bCs/>
          <w:i/>
          <w:iCs/>
          <w:kern w:val="0"/>
          <w:sz w:val="28"/>
          <w:szCs w:val="28"/>
        </w:rPr>
        <w:t>Уахит Рабиға Сейтбатталқызы</w:t>
      </w:r>
      <w:r>
        <w:rPr>
          <w:rStyle w:val="a0"/>
          <w:rFonts w:ascii="Times New Roman" w:hAnsi="Times New Roman"/>
          <w:kern w:val="0"/>
          <w:sz w:val="28"/>
          <w:szCs w:val="28"/>
        </w:rPr>
        <w:t xml:space="preserve"> – PhD, Ұлттық биотехнология орталығы Биоәртүрлілік және генетикалық ресурстар зертханасының аға ғылыми қызметкері, 010000, Астана, Қазақстан.</w:t>
      </w:r>
    </w:p>
    <w:p w14:paraId="5A994FB0"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rPr>
      </w:pPr>
      <w:r>
        <w:rPr>
          <w:rStyle w:val="a0"/>
          <w:rFonts w:ascii="Times New Roman" w:hAnsi="Times New Roman"/>
          <w:b/>
          <w:bCs/>
          <w:i/>
          <w:iCs/>
          <w:kern w:val="0"/>
          <w:sz w:val="28"/>
          <w:szCs w:val="28"/>
        </w:rPr>
        <w:t>Смагулова Айнура Муратовна</w:t>
      </w:r>
      <w:r>
        <w:rPr>
          <w:rStyle w:val="a0"/>
          <w:rFonts w:ascii="Times New Roman" w:hAnsi="Times New Roman"/>
          <w:kern w:val="0"/>
          <w:sz w:val="28"/>
          <w:szCs w:val="28"/>
        </w:rPr>
        <w:t xml:space="preserve"> – биология ғылымдарының кандидаты, Ұлттық биотехнология орталығы Биоәртүрлілік және генетикалық ресурстар зертханасының аға ғылыми қызметкері, 010000, Астана, Қазақстан.</w:t>
      </w:r>
    </w:p>
    <w:p w14:paraId="469308F3"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rPr>
      </w:pPr>
      <w:r>
        <w:rPr>
          <w:rStyle w:val="a0"/>
          <w:rFonts w:ascii="Times New Roman" w:hAnsi="Times New Roman"/>
          <w:b/>
          <w:bCs/>
          <w:i/>
          <w:iCs/>
          <w:kern w:val="0"/>
          <w:sz w:val="28"/>
          <w:szCs w:val="28"/>
        </w:rPr>
        <w:t>Абаш Алтынгүл Сембайқызы</w:t>
      </w:r>
      <w:r>
        <w:rPr>
          <w:rStyle w:val="a0"/>
          <w:rFonts w:ascii="Times New Roman" w:hAnsi="Times New Roman"/>
          <w:kern w:val="0"/>
          <w:sz w:val="28"/>
          <w:szCs w:val="28"/>
        </w:rPr>
        <w:t xml:space="preserve"> – Астана халықаралық университеті Жаратылыстану ғылымдары жоғары мектебінің докторанты, 010000, Астана, Қазақстан.</w:t>
      </w:r>
    </w:p>
    <w:p w14:paraId="11CB2F57"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rPr>
      </w:pPr>
      <w:r>
        <w:rPr>
          <w:rStyle w:val="a0"/>
          <w:rFonts w:ascii="Times New Roman" w:hAnsi="Times New Roman"/>
          <w:b/>
          <w:bCs/>
          <w:i/>
          <w:iCs/>
          <w:kern w:val="0"/>
          <w:sz w:val="28"/>
          <w:szCs w:val="28"/>
        </w:rPr>
        <w:t>Киян Владимир Сергеевич</w:t>
      </w:r>
      <w:r>
        <w:rPr>
          <w:rStyle w:val="a0"/>
          <w:rFonts w:ascii="Times New Roman" w:hAnsi="Times New Roman"/>
          <w:kern w:val="0"/>
          <w:sz w:val="28"/>
          <w:szCs w:val="28"/>
        </w:rPr>
        <w:t xml:space="preserve"> – PhD, профессор, Ұлттық биотехнология орталығы Биоәртүрлілік және генетикалық ресурстар зертханасының меңгерушісі, 010000, Астана, Қазақстан.</w:t>
      </w:r>
    </w:p>
    <w:p w14:paraId="3AE3E703"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rPr>
      </w:pPr>
      <w:r>
        <w:rPr>
          <w:rStyle w:val="a0"/>
          <w:rFonts w:ascii="Times New Roman" w:hAnsi="Times New Roman"/>
          <w:b/>
          <w:bCs/>
          <w:i/>
          <w:iCs/>
          <w:kern w:val="0"/>
          <w:sz w:val="28"/>
          <w:szCs w:val="28"/>
        </w:rPr>
        <w:t>Дюсембаев Казбек Амзеұлы</w:t>
      </w:r>
      <w:r>
        <w:rPr>
          <w:rStyle w:val="a0"/>
          <w:rFonts w:ascii="Times New Roman" w:hAnsi="Times New Roman"/>
          <w:kern w:val="0"/>
          <w:sz w:val="28"/>
          <w:szCs w:val="28"/>
        </w:rPr>
        <w:t xml:space="preserve"> – </w:t>
      </w:r>
      <w:r>
        <w:rPr>
          <w:rStyle w:val="a0"/>
          <w:rFonts w:ascii="Times New Roman" w:hAnsi="Times New Roman"/>
          <w:kern w:val="0"/>
          <w:sz w:val="28"/>
          <w:szCs w:val="28"/>
          <w:shd w:val="clear" w:color="auto" w:fill="F4B898"/>
        </w:rPr>
        <w:t>хат-хабар авторы,</w:t>
      </w:r>
      <w:r>
        <w:rPr>
          <w:rStyle w:val="a0"/>
          <w:rFonts w:ascii="Times New Roman" w:hAnsi="Times New Roman"/>
          <w:kern w:val="0"/>
          <w:sz w:val="28"/>
          <w:szCs w:val="28"/>
        </w:rPr>
        <w:t xml:space="preserve"> PhD, Ұлттық биотехнология орталығы Биоәртүрлілік және генетикалық ресурстар зертханасының ғылыми қызметкері, 010000, Астана, Қазақстан; Л.Н. Гумилев атындағы Еуразия ұлттық университеті Биотехнология және микробиология кафедрасының аға оқытушысы, 010000, Астана, Қазақстан.</w:t>
      </w:r>
    </w:p>
    <w:p w14:paraId="54221FBA" w14:textId="77777777" w:rsidR="00D923CF" w:rsidRDefault="00D923CF" w:rsidP="00D923CF">
      <w:pPr>
        <w:spacing w:after="0" w:line="240" w:lineRule="auto"/>
        <w:ind w:firstLine="567"/>
        <w:jc w:val="both"/>
        <w:rPr>
          <w:rStyle w:val="a0"/>
          <w:rFonts w:ascii="Times New Roman" w:eastAsia="Times New Roman" w:hAnsi="Times New Roman"/>
          <w:b/>
          <w:bCs/>
          <w:kern w:val="0"/>
          <w:sz w:val="28"/>
          <w:szCs w:val="28"/>
        </w:rPr>
      </w:pPr>
    </w:p>
    <w:p w14:paraId="3C2800E8" w14:textId="77777777" w:rsidR="00D923CF" w:rsidRDefault="00D923CF" w:rsidP="00D923CF">
      <w:pPr>
        <w:spacing w:after="0" w:line="240" w:lineRule="auto"/>
        <w:ind w:firstLine="567"/>
        <w:jc w:val="both"/>
        <w:rPr>
          <w:rStyle w:val="a0"/>
          <w:rFonts w:ascii="Times New Roman" w:eastAsia="Times New Roman" w:hAnsi="Times New Roman"/>
          <w:b/>
          <w:bCs/>
          <w:kern w:val="0"/>
          <w:sz w:val="28"/>
          <w:szCs w:val="28"/>
        </w:rPr>
      </w:pPr>
      <w:r>
        <w:rPr>
          <w:rStyle w:val="a0"/>
          <w:rFonts w:ascii="Times New Roman" w:hAnsi="Times New Roman"/>
          <w:b/>
          <w:bCs/>
          <w:kern w:val="0"/>
          <w:sz w:val="28"/>
          <w:szCs w:val="28"/>
        </w:rPr>
        <w:t>Сведения об авторах:</w:t>
      </w:r>
    </w:p>
    <w:p w14:paraId="65B7920E"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rPr>
      </w:pPr>
      <w:r>
        <w:rPr>
          <w:rStyle w:val="a0"/>
          <w:rFonts w:ascii="Times New Roman" w:hAnsi="Times New Roman"/>
          <w:b/>
          <w:bCs/>
          <w:i/>
          <w:iCs/>
          <w:kern w:val="0"/>
          <w:sz w:val="28"/>
          <w:szCs w:val="28"/>
        </w:rPr>
        <w:lastRenderedPageBreak/>
        <w:t xml:space="preserve">Уахит Рабиға Сейтбатталқызы </w:t>
      </w:r>
      <w:r>
        <w:rPr>
          <w:rStyle w:val="a0"/>
          <w:rFonts w:ascii="Times New Roman" w:hAnsi="Times New Roman"/>
          <w:kern w:val="0"/>
          <w:sz w:val="28"/>
          <w:szCs w:val="28"/>
        </w:rPr>
        <w:t xml:space="preserve">– </w:t>
      </w:r>
      <w:r>
        <w:rPr>
          <w:rStyle w:val="a0"/>
          <w:rFonts w:ascii="Times New Roman" w:hAnsi="Times New Roman"/>
          <w:kern w:val="0"/>
          <w:sz w:val="28"/>
          <w:szCs w:val="28"/>
          <w:lang w:val="en-US"/>
        </w:rPr>
        <w:t>PhD</w:t>
      </w:r>
      <w:r>
        <w:rPr>
          <w:rStyle w:val="a0"/>
          <w:rFonts w:ascii="Times New Roman" w:hAnsi="Times New Roman"/>
          <w:kern w:val="0"/>
          <w:sz w:val="28"/>
          <w:szCs w:val="28"/>
        </w:rPr>
        <w:t>, старший научный сотрудник Лаборатории биоразнообразия и генетических ресурсов Национального центра биотехнологии, 010000, Астана, Казахстан.</w:t>
      </w:r>
    </w:p>
    <w:p w14:paraId="4E6B11C1"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rPr>
      </w:pPr>
      <w:r>
        <w:rPr>
          <w:rStyle w:val="a0"/>
          <w:rFonts w:ascii="Times New Roman" w:hAnsi="Times New Roman"/>
          <w:b/>
          <w:bCs/>
          <w:i/>
          <w:iCs/>
          <w:kern w:val="0"/>
          <w:sz w:val="28"/>
          <w:szCs w:val="28"/>
        </w:rPr>
        <w:t xml:space="preserve">Смагулова Айнура Муратовна </w:t>
      </w:r>
      <w:r>
        <w:rPr>
          <w:rStyle w:val="a0"/>
          <w:rFonts w:ascii="Times New Roman" w:hAnsi="Times New Roman"/>
          <w:kern w:val="0"/>
          <w:sz w:val="28"/>
          <w:szCs w:val="28"/>
        </w:rPr>
        <w:t>– кандидат биологических наук, старший научный сотрудник Лаборатории биоразнообразия и генетических ресурсов Национального центра биотехнологии, 010000, Астана, Казахстан.</w:t>
      </w:r>
    </w:p>
    <w:p w14:paraId="7C94FDD0"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rPr>
      </w:pPr>
      <w:r>
        <w:rPr>
          <w:rStyle w:val="a0"/>
          <w:rFonts w:ascii="Times New Roman" w:hAnsi="Times New Roman"/>
          <w:b/>
          <w:bCs/>
          <w:i/>
          <w:iCs/>
          <w:kern w:val="0"/>
          <w:sz w:val="28"/>
          <w:szCs w:val="28"/>
        </w:rPr>
        <w:t xml:space="preserve">Абаш Алтынгүл Сембайқызы </w:t>
      </w:r>
      <w:r>
        <w:rPr>
          <w:rStyle w:val="a0"/>
          <w:rFonts w:ascii="Times New Roman" w:hAnsi="Times New Roman"/>
          <w:kern w:val="0"/>
          <w:sz w:val="28"/>
          <w:szCs w:val="28"/>
        </w:rPr>
        <w:t>– докторант Высшей школы естественных наук Международного университета Астана, 010000, Астана, Казахстан.</w:t>
      </w:r>
    </w:p>
    <w:p w14:paraId="7ADA198F"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rPr>
      </w:pPr>
      <w:r>
        <w:rPr>
          <w:rStyle w:val="a0"/>
          <w:rFonts w:ascii="Times New Roman" w:hAnsi="Times New Roman"/>
          <w:b/>
          <w:bCs/>
          <w:i/>
          <w:iCs/>
          <w:kern w:val="0"/>
          <w:sz w:val="28"/>
          <w:szCs w:val="28"/>
        </w:rPr>
        <w:t xml:space="preserve">Киян Владимир Сергеевич </w:t>
      </w:r>
      <w:r>
        <w:rPr>
          <w:rStyle w:val="a0"/>
          <w:rFonts w:ascii="Times New Roman" w:hAnsi="Times New Roman"/>
          <w:kern w:val="0"/>
          <w:sz w:val="28"/>
          <w:szCs w:val="28"/>
        </w:rPr>
        <w:t xml:space="preserve">– </w:t>
      </w:r>
      <w:r>
        <w:rPr>
          <w:rStyle w:val="a0"/>
          <w:rFonts w:ascii="Times New Roman" w:hAnsi="Times New Roman"/>
          <w:kern w:val="0"/>
          <w:sz w:val="28"/>
          <w:szCs w:val="28"/>
          <w:lang w:val="en-US"/>
        </w:rPr>
        <w:t>PhD</w:t>
      </w:r>
      <w:r>
        <w:rPr>
          <w:rStyle w:val="a0"/>
          <w:rFonts w:ascii="Times New Roman" w:hAnsi="Times New Roman"/>
          <w:kern w:val="0"/>
          <w:sz w:val="28"/>
          <w:szCs w:val="28"/>
        </w:rPr>
        <w:t>, профессор, заведующий Лабораторией биоразнообразия и генетических ресурсов Национального центра биотехнологии, 010000, Астана, Казахстан.</w:t>
      </w:r>
    </w:p>
    <w:p w14:paraId="1C136CAD"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rPr>
      </w:pPr>
      <w:r>
        <w:rPr>
          <w:rStyle w:val="a0"/>
          <w:rFonts w:ascii="Times New Roman" w:hAnsi="Times New Roman"/>
          <w:b/>
          <w:bCs/>
          <w:i/>
          <w:iCs/>
          <w:kern w:val="0"/>
          <w:sz w:val="28"/>
          <w:szCs w:val="28"/>
        </w:rPr>
        <w:t xml:space="preserve">Дюсембаев Казбек Амзеұлы </w:t>
      </w:r>
      <w:r>
        <w:rPr>
          <w:rStyle w:val="a0"/>
          <w:rFonts w:ascii="Times New Roman" w:hAnsi="Times New Roman"/>
          <w:kern w:val="0"/>
          <w:sz w:val="28"/>
          <w:szCs w:val="28"/>
        </w:rPr>
        <w:t xml:space="preserve">– </w:t>
      </w:r>
      <w:r>
        <w:rPr>
          <w:rStyle w:val="a0"/>
          <w:rFonts w:ascii="Times New Roman" w:hAnsi="Times New Roman"/>
          <w:kern w:val="0"/>
          <w:sz w:val="28"/>
          <w:szCs w:val="28"/>
          <w:shd w:val="clear" w:color="auto" w:fill="C0C0C0"/>
        </w:rPr>
        <w:t>автор для корреспонденции,</w:t>
      </w:r>
      <w:r>
        <w:rPr>
          <w:rStyle w:val="a0"/>
          <w:rFonts w:ascii="Times New Roman" w:hAnsi="Times New Roman"/>
          <w:kern w:val="0"/>
          <w:sz w:val="28"/>
          <w:szCs w:val="28"/>
        </w:rPr>
        <w:t xml:space="preserve"> </w:t>
      </w:r>
      <w:r>
        <w:rPr>
          <w:rStyle w:val="a0"/>
          <w:rFonts w:ascii="Times New Roman" w:hAnsi="Times New Roman"/>
          <w:kern w:val="0"/>
          <w:sz w:val="28"/>
          <w:szCs w:val="28"/>
          <w:lang w:val="en-US"/>
        </w:rPr>
        <w:t>PhD</w:t>
      </w:r>
      <w:r>
        <w:rPr>
          <w:rStyle w:val="a0"/>
          <w:rFonts w:ascii="Times New Roman" w:hAnsi="Times New Roman"/>
          <w:kern w:val="0"/>
          <w:sz w:val="28"/>
          <w:szCs w:val="28"/>
        </w:rPr>
        <w:t xml:space="preserve">, научный сотрудник Лаборатории биоразнообразия и генетических ресурсов Национального центра биотехнологии, 010000, Астана, Казахстан; старший преподаватель </w:t>
      </w:r>
      <w:r>
        <w:rPr>
          <w:rStyle w:val="a0"/>
          <w:rFonts w:ascii="Times New Roman" w:hAnsi="Times New Roman"/>
          <w:kern w:val="0"/>
          <w:sz w:val="28"/>
          <w:szCs w:val="28"/>
          <w:shd w:val="clear" w:color="auto" w:fill="00FF00"/>
        </w:rPr>
        <w:t>к</w:t>
      </w:r>
      <w:r>
        <w:rPr>
          <w:rStyle w:val="a0"/>
          <w:rFonts w:ascii="Times New Roman" w:hAnsi="Times New Roman"/>
          <w:kern w:val="0"/>
          <w:sz w:val="28"/>
          <w:szCs w:val="28"/>
        </w:rPr>
        <w:t>афедры биотехнологии и микробиологии Евразийского национального университета имени Л.Н. Гумилева, 010000, Астана, Казахстан.</w:t>
      </w:r>
    </w:p>
    <w:p w14:paraId="303CE7B7"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rPr>
      </w:pPr>
    </w:p>
    <w:p w14:paraId="2B921A2B" w14:textId="77777777" w:rsidR="00D923CF" w:rsidRDefault="00D923CF" w:rsidP="00D923CF">
      <w:pPr>
        <w:spacing w:after="0" w:line="240" w:lineRule="auto"/>
        <w:ind w:firstLine="567"/>
        <w:jc w:val="both"/>
        <w:rPr>
          <w:rStyle w:val="a0"/>
          <w:rFonts w:ascii="Times New Roman" w:eastAsia="Times New Roman" w:hAnsi="Times New Roman"/>
          <w:b/>
          <w:bCs/>
          <w:kern w:val="0"/>
          <w:sz w:val="28"/>
          <w:szCs w:val="28"/>
          <w:lang w:val="en-US"/>
        </w:rPr>
      </w:pPr>
      <w:r>
        <w:rPr>
          <w:rStyle w:val="a0"/>
          <w:rFonts w:ascii="Times New Roman" w:hAnsi="Times New Roman"/>
          <w:b/>
          <w:bCs/>
          <w:kern w:val="0"/>
          <w:sz w:val="28"/>
          <w:szCs w:val="28"/>
          <w:lang w:val="en-US"/>
        </w:rPr>
        <w:t>Authors' information:</w:t>
      </w:r>
    </w:p>
    <w:p w14:paraId="1F02B06D"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b/>
          <w:bCs/>
          <w:i/>
          <w:iCs/>
          <w:kern w:val="0"/>
          <w:sz w:val="28"/>
          <w:szCs w:val="28"/>
          <w:lang w:val="en-US"/>
        </w:rPr>
        <w:t>Rabiga Uakhit</w:t>
      </w:r>
      <w:r>
        <w:rPr>
          <w:rStyle w:val="a0"/>
          <w:rFonts w:ascii="Times New Roman" w:hAnsi="Times New Roman"/>
          <w:kern w:val="0"/>
          <w:sz w:val="28"/>
          <w:szCs w:val="28"/>
          <w:lang w:val="en-US"/>
        </w:rPr>
        <w:t xml:space="preserve"> – PhD, senior research scientist, Laboratory of </w:t>
      </w:r>
      <w:r w:rsidRPr="00EF6D5D">
        <w:rPr>
          <w:rStyle w:val="a0"/>
          <w:rFonts w:ascii="Times New Roman" w:hAnsi="Times New Roman"/>
          <w:kern w:val="0"/>
          <w:sz w:val="28"/>
          <w:szCs w:val="28"/>
          <w:highlight w:val="yellow"/>
          <w:lang w:val="en-US"/>
        </w:rPr>
        <w:t>Bi</w:t>
      </w:r>
      <w:r>
        <w:rPr>
          <w:rStyle w:val="a0"/>
          <w:rFonts w:ascii="Times New Roman" w:hAnsi="Times New Roman"/>
          <w:kern w:val="0"/>
          <w:sz w:val="28"/>
          <w:szCs w:val="28"/>
          <w:lang w:val="en-US"/>
        </w:rPr>
        <w:t xml:space="preserve">odiversity and </w:t>
      </w:r>
      <w:r w:rsidRPr="00EF6D5D">
        <w:rPr>
          <w:rStyle w:val="a0"/>
          <w:rFonts w:ascii="Times New Roman" w:hAnsi="Times New Roman"/>
          <w:kern w:val="0"/>
          <w:sz w:val="28"/>
          <w:szCs w:val="28"/>
          <w:highlight w:val="yellow"/>
          <w:lang w:val="en-US"/>
        </w:rPr>
        <w:t>Gen</w:t>
      </w:r>
      <w:r>
        <w:rPr>
          <w:rStyle w:val="a0"/>
          <w:rFonts w:ascii="Times New Roman" w:hAnsi="Times New Roman"/>
          <w:kern w:val="0"/>
          <w:sz w:val="28"/>
          <w:szCs w:val="28"/>
          <w:lang w:val="en-US"/>
        </w:rPr>
        <w:t xml:space="preserve">etic </w:t>
      </w:r>
      <w:r w:rsidRPr="00EF6D5D">
        <w:rPr>
          <w:rStyle w:val="a0"/>
          <w:rFonts w:ascii="Times New Roman" w:hAnsi="Times New Roman"/>
          <w:kern w:val="0"/>
          <w:sz w:val="28"/>
          <w:szCs w:val="28"/>
          <w:highlight w:val="yellow"/>
          <w:lang w:val="en-US"/>
        </w:rPr>
        <w:t>Re</w:t>
      </w:r>
      <w:r>
        <w:rPr>
          <w:rStyle w:val="a0"/>
          <w:rFonts w:ascii="Times New Roman" w:hAnsi="Times New Roman"/>
          <w:kern w:val="0"/>
          <w:sz w:val="28"/>
          <w:szCs w:val="28"/>
          <w:lang w:val="en-US"/>
        </w:rPr>
        <w:t xml:space="preserve">sources, National </w:t>
      </w:r>
      <w:r w:rsidRPr="00EF6D5D">
        <w:rPr>
          <w:rStyle w:val="a0"/>
          <w:rFonts w:ascii="Times New Roman" w:hAnsi="Times New Roman"/>
          <w:kern w:val="0"/>
          <w:sz w:val="28"/>
          <w:szCs w:val="28"/>
          <w:highlight w:val="yellow"/>
          <w:lang w:val="en-US"/>
        </w:rPr>
        <w:t>C</w:t>
      </w:r>
      <w:r>
        <w:rPr>
          <w:rStyle w:val="a0"/>
          <w:rFonts w:ascii="Times New Roman" w:hAnsi="Times New Roman"/>
          <w:kern w:val="0"/>
          <w:sz w:val="28"/>
          <w:szCs w:val="28"/>
          <w:lang w:val="en-US"/>
        </w:rPr>
        <w:t xml:space="preserve">enter for </w:t>
      </w:r>
      <w:r w:rsidRPr="00EF6D5D">
        <w:rPr>
          <w:rStyle w:val="a0"/>
          <w:rFonts w:ascii="Times New Roman" w:hAnsi="Times New Roman"/>
          <w:kern w:val="0"/>
          <w:sz w:val="28"/>
          <w:szCs w:val="28"/>
          <w:highlight w:val="yellow"/>
          <w:lang w:val="en-US"/>
        </w:rPr>
        <w:t>B</w:t>
      </w:r>
      <w:r>
        <w:rPr>
          <w:rStyle w:val="a0"/>
          <w:rFonts w:ascii="Times New Roman" w:hAnsi="Times New Roman"/>
          <w:kern w:val="0"/>
          <w:sz w:val="28"/>
          <w:szCs w:val="28"/>
          <w:lang w:val="en-US"/>
        </w:rPr>
        <w:t>iotechnology, 010000, Astana, Kazakhstan.</w:t>
      </w:r>
    </w:p>
    <w:p w14:paraId="4537000B"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b/>
          <w:bCs/>
          <w:kern w:val="0"/>
          <w:sz w:val="28"/>
          <w:szCs w:val="28"/>
          <w:lang w:val="en-US"/>
        </w:rPr>
        <w:t>Ainura Smagulova</w:t>
      </w:r>
      <w:r>
        <w:rPr>
          <w:rStyle w:val="a0"/>
          <w:rFonts w:ascii="Times New Roman" w:hAnsi="Times New Roman"/>
          <w:kern w:val="0"/>
          <w:sz w:val="28"/>
          <w:szCs w:val="28"/>
          <w:lang w:val="en-US"/>
        </w:rPr>
        <w:t xml:space="preserve"> – </w:t>
      </w:r>
      <w:r w:rsidRPr="00EF6D5D">
        <w:rPr>
          <w:rStyle w:val="a0"/>
          <w:rFonts w:ascii="Times New Roman" w:hAnsi="Times New Roman"/>
          <w:kern w:val="0"/>
          <w:sz w:val="28"/>
          <w:szCs w:val="28"/>
          <w:highlight w:val="yellow"/>
          <w:lang w:val="en-US"/>
        </w:rPr>
        <w:t>C</w:t>
      </w:r>
      <w:r>
        <w:rPr>
          <w:rStyle w:val="a0"/>
          <w:rFonts w:ascii="Times New Roman" w:hAnsi="Times New Roman"/>
          <w:kern w:val="0"/>
          <w:sz w:val="28"/>
          <w:szCs w:val="28"/>
          <w:lang w:val="en-US"/>
        </w:rPr>
        <w:t xml:space="preserve">andidate of biological sciences, senior research scientist, Laboratory of biodiversity and genetic resources, National </w:t>
      </w:r>
      <w:r w:rsidRPr="00EF6D5D">
        <w:rPr>
          <w:rStyle w:val="a0"/>
          <w:rFonts w:ascii="Times New Roman" w:hAnsi="Times New Roman"/>
          <w:kern w:val="0"/>
          <w:sz w:val="28"/>
          <w:szCs w:val="28"/>
          <w:highlight w:val="yellow"/>
          <w:lang w:val="en-US"/>
        </w:rPr>
        <w:t>C</w:t>
      </w:r>
      <w:r>
        <w:rPr>
          <w:rStyle w:val="a0"/>
          <w:rFonts w:ascii="Times New Roman" w:hAnsi="Times New Roman"/>
          <w:kern w:val="0"/>
          <w:sz w:val="28"/>
          <w:szCs w:val="28"/>
          <w:lang w:val="en-US"/>
        </w:rPr>
        <w:t xml:space="preserve">enter for </w:t>
      </w:r>
      <w:r w:rsidRPr="00EF6D5D">
        <w:rPr>
          <w:rStyle w:val="a0"/>
          <w:rFonts w:ascii="Times New Roman" w:hAnsi="Times New Roman"/>
          <w:kern w:val="0"/>
          <w:sz w:val="28"/>
          <w:szCs w:val="28"/>
          <w:highlight w:val="yellow"/>
          <w:lang w:val="en-US"/>
        </w:rPr>
        <w:t>B</w:t>
      </w:r>
      <w:r>
        <w:rPr>
          <w:rStyle w:val="a0"/>
          <w:rFonts w:ascii="Times New Roman" w:hAnsi="Times New Roman"/>
          <w:kern w:val="0"/>
          <w:sz w:val="28"/>
          <w:szCs w:val="28"/>
          <w:lang w:val="en-US"/>
        </w:rPr>
        <w:t>iotechnology, 010000, Astana, Kazakhstan.</w:t>
      </w:r>
    </w:p>
    <w:p w14:paraId="6A09738B"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b/>
          <w:bCs/>
          <w:kern w:val="0"/>
          <w:sz w:val="28"/>
          <w:szCs w:val="28"/>
          <w:lang w:val="en-US"/>
        </w:rPr>
        <w:t>Altyngul Abash</w:t>
      </w:r>
      <w:r>
        <w:rPr>
          <w:rStyle w:val="a0"/>
          <w:rFonts w:ascii="Times New Roman" w:hAnsi="Times New Roman"/>
          <w:kern w:val="0"/>
          <w:sz w:val="28"/>
          <w:szCs w:val="28"/>
          <w:lang w:val="en-US"/>
        </w:rPr>
        <w:t xml:space="preserve"> – PhD student, Higher school of natural sciences, Astana international university, 010000, Astana, Kazakhstan.</w:t>
      </w:r>
    </w:p>
    <w:p w14:paraId="07A29BA1" w14:textId="77777777" w:rsidR="00D923CF" w:rsidRDefault="00D923CF" w:rsidP="00D923CF">
      <w:pPr>
        <w:spacing w:after="0" w:line="240" w:lineRule="auto"/>
        <w:ind w:firstLine="567"/>
        <w:jc w:val="both"/>
        <w:rPr>
          <w:rStyle w:val="a0"/>
          <w:rFonts w:ascii="Times New Roman" w:eastAsia="Times New Roman" w:hAnsi="Times New Roman"/>
          <w:kern w:val="0"/>
          <w:sz w:val="28"/>
          <w:szCs w:val="28"/>
          <w:lang w:val="en-US"/>
        </w:rPr>
      </w:pPr>
      <w:r>
        <w:rPr>
          <w:rStyle w:val="a0"/>
          <w:rFonts w:ascii="Times New Roman" w:hAnsi="Times New Roman"/>
          <w:b/>
          <w:bCs/>
          <w:kern w:val="0"/>
          <w:sz w:val="28"/>
          <w:szCs w:val="28"/>
          <w:lang w:val="en-US"/>
        </w:rPr>
        <w:t>Vladimir Kiyan</w:t>
      </w:r>
      <w:r>
        <w:rPr>
          <w:rStyle w:val="a0"/>
          <w:rFonts w:ascii="Times New Roman" w:hAnsi="Times New Roman"/>
          <w:kern w:val="0"/>
          <w:sz w:val="28"/>
          <w:szCs w:val="28"/>
          <w:lang w:val="en-US"/>
        </w:rPr>
        <w:t xml:space="preserve"> – PhD, professor, head of the Laboratory of </w:t>
      </w:r>
      <w:r w:rsidRPr="00EF6D5D">
        <w:rPr>
          <w:rStyle w:val="a0"/>
          <w:rFonts w:ascii="Times New Roman" w:hAnsi="Times New Roman"/>
          <w:kern w:val="0"/>
          <w:sz w:val="28"/>
          <w:szCs w:val="28"/>
          <w:highlight w:val="yellow"/>
          <w:lang w:val="en-US"/>
        </w:rPr>
        <w:t>Bi</w:t>
      </w:r>
      <w:r>
        <w:rPr>
          <w:rStyle w:val="a0"/>
          <w:rFonts w:ascii="Times New Roman" w:hAnsi="Times New Roman"/>
          <w:kern w:val="0"/>
          <w:sz w:val="28"/>
          <w:szCs w:val="28"/>
          <w:lang w:val="en-US"/>
        </w:rPr>
        <w:t xml:space="preserve">odiversity and genetic resources, National </w:t>
      </w:r>
      <w:r w:rsidRPr="00EF6D5D">
        <w:rPr>
          <w:rStyle w:val="a0"/>
          <w:rFonts w:ascii="Times New Roman" w:hAnsi="Times New Roman"/>
          <w:kern w:val="0"/>
          <w:sz w:val="28"/>
          <w:szCs w:val="28"/>
          <w:highlight w:val="yellow"/>
          <w:lang w:val="en-US"/>
        </w:rPr>
        <w:t>C</w:t>
      </w:r>
      <w:r>
        <w:rPr>
          <w:rStyle w:val="a0"/>
          <w:rFonts w:ascii="Times New Roman" w:hAnsi="Times New Roman"/>
          <w:kern w:val="0"/>
          <w:sz w:val="28"/>
          <w:szCs w:val="28"/>
          <w:lang w:val="en-US"/>
        </w:rPr>
        <w:t xml:space="preserve">enter for </w:t>
      </w:r>
      <w:r w:rsidRPr="00EF6D5D">
        <w:rPr>
          <w:rStyle w:val="a0"/>
          <w:rFonts w:ascii="Times New Roman" w:hAnsi="Times New Roman"/>
          <w:kern w:val="0"/>
          <w:sz w:val="28"/>
          <w:szCs w:val="28"/>
          <w:highlight w:val="yellow"/>
          <w:lang w:val="en-US"/>
        </w:rPr>
        <w:t>B</w:t>
      </w:r>
      <w:r>
        <w:rPr>
          <w:rStyle w:val="a0"/>
          <w:rFonts w:ascii="Times New Roman" w:hAnsi="Times New Roman"/>
          <w:kern w:val="0"/>
          <w:sz w:val="28"/>
          <w:szCs w:val="28"/>
          <w:lang w:val="en-US"/>
        </w:rPr>
        <w:t>iotechnology, 010000, Astana, Kazakhstan.</w:t>
      </w:r>
    </w:p>
    <w:p w14:paraId="043913D5" w14:textId="77777777" w:rsidR="00D923CF" w:rsidRPr="00EF6D5D" w:rsidRDefault="00D923CF" w:rsidP="00D923CF">
      <w:pPr>
        <w:spacing w:after="0" w:line="240" w:lineRule="auto"/>
        <w:ind w:firstLine="567"/>
        <w:jc w:val="both"/>
        <w:rPr>
          <w:lang w:val="en-US"/>
        </w:rPr>
      </w:pPr>
      <w:r>
        <w:rPr>
          <w:rStyle w:val="a0"/>
          <w:rFonts w:ascii="Times New Roman" w:hAnsi="Times New Roman"/>
          <w:b/>
          <w:bCs/>
          <w:kern w:val="0"/>
          <w:sz w:val="28"/>
          <w:szCs w:val="28"/>
          <w:lang w:val="en-US"/>
        </w:rPr>
        <w:t>Kazbek Dyussembayev</w:t>
      </w:r>
      <w:r>
        <w:rPr>
          <w:rStyle w:val="a0"/>
          <w:rFonts w:ascii="Times New Roman" w:hAnsi="Times New Roman"/>
          <w:kern w:val="0"/>
          <w:sz w:val="28"/>
          <w:szCs w:val="28"/>
          <w:lang w:val="en-US"/>
        </w:rPr>
        <w:t xml:space="preserve"> – corresponding author, research scientist, Laboratory of biodiversity and genetic resources, National </w:t>
      </w:r>
      <w:r w:rsidRPr="00EF6D5D">
        <w:rPr>
          <w:rStyle w:val="a0"/>
          <w:rFonts w:ascii="Times New Roman" w:hAnsi="Times New Roman"/>
          <w:kern w:val="0"/>
          <w:sz w:val="28"/>
          <w:szCs w:val="28"/>
          <w:highlight w:val="yellow"/>
          <w:lang w:val="en-US"/>
        </w:rPr>
        <w:t>C</w:t>
      </w:r>
      <w:r>
        <w:rPr>
          <w:rStyle w:val="a0"/>
          <w:rFonts w:ascii="Times New Roman" w:hAnsi="Times New Roman"/>
          <w:kern w:val="0"/>
          <w:sz w:val="28"/>
          <w:szCs w:val="28"/>
          <w:lang w:val="en-US"/>
        </w:rPr>
        <w:t xml:space="preserve">enter for </w:t>
      </w:r>
      <w:r w:rsidRPr="00EF6D5D">
        <w:rPr>
          <w:rStyle w:val="a0"/>
          <w:rFonts w:ascii="Times New Roman" w:hAnsi="Times New Roman"/>
          <w:kern w:val="0"/>
          <w:sz w:val="28"/>
          <w:szCs w:val="28"/>
          <w:highlight w:val="yellow"/>
          <w:lang w:val="en-US"/>
        </w:rPr>
        <w:t>B</w:t>
      </w:r>
      <w:r>
        <w:rPr>
          <w:rStyle w:val="a0"/>
          <w:rFonts w:ascii="Times New Roman" w:hAnsi="Times New Roman"/>
          <w:kern w:val="0"/>
          <w:sz w:val="28"/>
          <w:szCs w:val="28"/>
          <w:lang w:val="en-US"/>
        </w:rPr>
        <w:t xml:space="preserve">iotechnology, 010000, Astana, Kazakhstan; senior lecturer, Department of biotechnology and microbiology, L.N. Gumilyov Eurasian </w:t>
      </w:r>
      <w:r w:rsidRPr="00EF6D5D">
        <w:rPr>
          <w:rStyle w:val="a0"/>
          <w:rFonts w:ascii="Times New Roman" w:hAnsi="Times New Roman"/>
          <w:kern w:val="0"/>
          <w:sz w:val="28"/>
          <w:szCs w:val="28"/>
          <w:highlight w:val="yellow"/>
          <w:lang w:val="en-US"/>
        </w:rPr>
        <w:t>N</w:t>
      </w:r>
      <w:r>
        <w:rPr>
          <w:rStyle w:val="a0"/>
          <w:rFonts w:ascii="Times New Roman" w:hAnsi="Times New Roman"/>
          <w:kern w:val="0"/>
          <w:sz w:val="28"/>
          <w:szCs w:val="28"/>
          <w:lang w:val="en-US"/>
        </w:rPr>
        <w:t xml:space="preserve">ational </w:t>
      </w:r>
      <w:r w:rsidRPr="00EF6D5D">
        <w:rPr>
          <w:rStyle w:val="a0"/>
          <w:rFonts w:ascii="Times New Roman" w:hAnsi="Times New Roman"/>
          <w:kern w:val="0"/>
          <w:sz w:val="28"/>
          <w:szCs w:val="28"/>
          <w:highlight w:val="yellow"/>
          <w:lang w:val="en-US"/>
        </w:rPr>
        <w:t>U</w:t>
      </w:r>
      <w:r>
        <w:rPr>
          <w:rStyle w:val="a0"/>
          <w:rFonts w:ascii="Times New Roman" w:hAnsi="Times New Roman"/>
          <w:kern w:val="0"/>
          <w:sz w:val="28"/>
          <w:szCs w:val="28"/>
          <w:lang w:val="en-US"/>
        </w:rPr>
        <w:t>niversity, 010000, Astana, Kazakhstan.</w:t>
      </w:r>
    </w:p>
    <w:p w14:paraId="65ABDC5A" w14:textId="77777777" w:rsidR="00D55965" w:rsidRPr="00D923CF" w:rsidRDefault="00D55965">
      <w:pPr>
        <w:rPr>
          <w:lang w:val="en-US"/>
        </w:rPr>
      </w:pPr>
    </w:p>
    <w:sectPr w:rsidR="00D55965" w:rsidRPr="00D923CF" w:rsidSect="00D923CF">
      <w:headerReference w:type="default" r:id="rId44"/>
      <w:footerReference w:type="default" r:id="rId45"/>
      <w:pgSz w:w="11900" w:h="16840"/>
      <w:pgMar w:top="1134" w:right="1134" w:bottom="1134"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BCE7" w14:textId="77777777" w:rsidR="00D923CF" w:rsidRDefault="00D923CF">
    <w:pPr>
      <w:pStyle w:val="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EF681" w14:textId="77777777" w:rsidR="00D923CF" w:rsidRDefault="00D923CF">
    <w:pPr>
      <w:pStyle w:val="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FB906B"/>
    <w:multiLevelType w:val="singleLevel"/>
    <w:tmpl w:val="BDFB906B"/>
    <w:lvl w:ilvl="0">
      <w:start w:val="2"/>
      <w:numFmt w:val="decimal"/>
      <w:suff w:val="space"/>
      <w:lvlText w:val="%1."/>
      <w:lvlJc w:val="left"/>
      <w:rPr>
        <w:rFonts w:ascii="Times New Roman" w:hAnsi="Times New Roman" w:cs="Times New Roman" w:hint="default"/>
        <w:b w:val="0"/>
        <w:bCs w:val="0"/>
      </w:rPr>
    </w:lvl>
  </w:abstractNum>
  <w:abstractNum w:abstractNumId="1" w15:restartNumberingAfterBreak="0">
    <w:nsid w:val="FFEFF688"/>
    <w:multiLevelType w:val="singleLevel"/>
    <w:tmpl w:val="FFEFF688"/>
    <w:lvl w:ilvl="0">
      <w:start w:val="1"/>
      <w:numFmt w:val="decimal"/>
      <w:suff w:val="space"/>
      <w:lvlText w:val="%1."/>
      <w:lvlJc w:val="left"/>
      <w:rPr>
        <w:rFonts w:hint="default"/>
        <w:sz w:val="28"/>
        <w:szCs w:val="28"/>
      </w:rPr>
    </w:lvl>
  </w:abstractNum>
  <w:abstractNum w:abstractNumId="2" w15:restartNumberingAfterBreak="0">
    <w:nsid w:val="2D597062"/>
    <w:multiLevelType w:val="hybridMultilevel"/>
    <w:tmpl w:val="439E738E"/>
    <w:styleLink w:val="1"/>
    <w:lvl w:ilvl="0" w:tplc="67687B00">
      <w:start w:val="1"/>
      <w:numFmt w:val="decimal"/>
      <w:lvlText w:val="%1."/>
      <w:lvlJc w:val="left"/>
      <w:pPr>
        <w:tabs>
          <w:tab w:val="num" w:pos="993"/>
        </w:tabs>
        <w:ind w:left="426" w:firstLine="141"/>
      </w:pPr>
      <w:rPr>
        <w:rFonts w:hAnsi="Arial Unicode MS"/>
        <w:caps w:val="0"/>
        <w:smallCaps w:val="0"/>
        <w:strike w:val="0"/>
        <w:dstrike w:val="0"/>
        <w:outline w:val="0"/>
        <w:emboss w:val="0"/>
        <w:imprint w:val="0"/>
        <w:spacing w:val="0"/>
        <w:w w:val="100"/>
        <w:kern w:val="0"/>
        <w:position w:val="0"/>
        <w:highlight w:val="none"/>
        <w:vertAlign w:val="baseline"/>
      </w:rPr>
    </w:lvl>
    <w:lvl w:ilvl="1" w:tplc="4F249CC0">
      <w:start w:val="1"/>
      <w:numFmt w:val="lowerLetter"/>
      <w:lvlText w:val="%2."/>
      <w:lvlJc w:val="left"/>
      <w:pPr>
        <w:ind w:left="7098" w:hanging="6531"/>
      </w:pPr>
      <w:rPr>
        <w:rFonts w:hAnsi="Arial Unicode MS"/>
        <w:caps w:val="0"/>
        <w:smallCaps w:val="0"/>
        <w:strike w:val="0"/>
        <w:dstrike w:val="0"/>
        <w:outline w:val="0"/>
        <w:emboss w:val="0"/>
        <w:imprint w:val="0"/>
        <w:spacing w:val="0"/>
        <w:w w:val="100"/>
        <w:kern w:val="0"/>
        <w:position w:val="0"/>
        <w:highlight w:val="none"/>
        <w:vertAlign w:val="baseline"/>
      </w:rPr>
    </w:lvl>
    <w:lvl w:ilvl="2" w:tplc="0A803178">
      <w:start w:val="1"/>
      <w:numFmt w:val="lowerRoman"/>
      <w:lvlText w:val="%3."/>
      <w:lvlJc w:val="left"/>
      <w:pPr>
        <w:ind w:left="6338" w:hanging="5771"/>
      </w:pPr>
      <w:rPr>
        <w:rFonts w:hAnsi="Arial Unicode MS"/>
        <w:caps w:val="0"/>
        <w:smallCaps w:val="0"/>
        <w:strike w:val="0"/>
        <w:dstrike w:val="0"/>
        <w:outline w:val="0"/>
        <w:emboss w:val="0"/>
        <w:imprint w:val="0"/>
        <w:spacing w:val="0"/>
        <w:w w:val="100"/>
        <w:kern w:val="0"/>
        <w:position w:val="0"/>
        <w:highlight w:val="none"/>
        <w:vertAlign w:val="baseline"/>
      </w:rPr>
    </w:lvl>
    <w:lvl w:ilvl="3" w:tplc="2F145AA2">
      <w:start w:val="1"/>
      <w:numFmt w:val="decimal"/>
      <w:lvlText w:val="%4."/>
      <w:lvlJc w:val="left"/>
      <w:pPr>
        <w:ind w:left="5658" w:hanging="5091"/>
      </w:pPr>
      <w:rPr>
        <w:rFonts w:hAnsi="Arial Unicode MS"/>
        <w:caps w:val="0"/>
        <w:smallCaps w:val="0"/>
        <w:strike w:val="0"/>
        <w:dstrike w:val="0"/>
        <w:outline w:val="0"/>
        <w:emboss w:val="0"/>
        <w:imprint w:val="0"/>
        <w:spacing w:val="0"/>
        <w:w w:val="100"/>
        <w:kern w:val="0"/>
        <w:position w:val="0"/>
        <w:highlight w:val="none"/>
        <w:vertAlign w:val="baseline"/>
      </w:rPr>
    </w:lvl>
    <w:lvl w:ilvl="4" w:tplc="7ABE29DA">
      <w:start w:val="1"/>
      <w:numFmt w:val="lowerLetter"/>
      <w:lvlText w:val="%5."/>
      <w:lvlJc w:val="left"/>
      <w:pPr>
        <w:ind w:left="4938" w:hanging="4371"/>
      </w:pPr>
      <w:rPr>
        <w:rFonts w:hAnsi="Arial Unicode MS"/>
        <w:caps w:val="0"/>
        <w:smallCaps w:val="0"/>
        <w:strike w:val="0"/>
        <w:dstrike w:val="0"/>
        <w:outline w:val="0"/>
        <w:emboss w:val="0"/>
        <w:imprint w:val="0"/>
        <w:spacing w:val="0"/>
        <w:w w:val="100"/>
        <w:kern w:val="0"/>
        <w:position w:val="0"/>
        <w:highlight w:val="none"/>
        <w:vertAlign w:val="baseline"/>
      </w:rPr>
    </w:lvl>
    <w:lvl w:ilvl="5" w:tplc="E822E240">
      <w:start w:val="1"/>
      <w:numFmt w:val="lowerRoman"/>
      <w:lvlText w:val="%6."/>
      <w:lvlJc w:val="left"/>
      <w:pPr>
        <w:ind w:left="4178" w:hanging="3611"/>
      </w:pPr>
      <w:rPr>
        <w:rFonts w:hAnsi="Arial Unicode MS"/>
        <w:caps w:val="0"/>
        <w:smallCaps w:val="0"/>
        <w:strike w:val="0"/>
        <w:dstrike w:val="0"/>
        <w:outline w:val="0"/>
        <w:emboss w:val="0"/>
        <w:imprint w:val="0"/>
        <w:spacing w:val="0"/>
        <w:w w:val="100"/>
        <w:kern w:val="0"/>
        <w:position w:val="0"/>
        <w:highlight w:val="none"/>
        <w:vertAlign w:val="baseline"/>
      </w:rPr>
    </w:lvl>
    <w:lvl w:ilvl="6" w:tplc="33D60B24">
      <w:start w:val="1"/>
      <w:numFmt w:val="decimal"/>
      <w:lvlText w:val="%7."/>
      <w:lvlJc w:val="left"/>
      <w:pPr>
        <w:ind w:left="3498" w:hanging="2931"/>
      </w:pPr>
      <w:rPr>
        <w:rFonts w:hAnsi="Arial Unicode MS"/>
        <w:caps w:val="0"/>
        <w:smallCaps w:val="0"/>
        <w:strike w:val="0"/>
        <w:dstrike w:val="0"/>
        <w:outline w:val="0"/>
        <w:emboss w:val="0"/>
        <w:imprint w:val="0"/>
        <w:spacing w:val="0"/>
        <w:w w:val="100"/>
        <w:kern w:val="0"/>
        <w:position w:val="0"/>
        <w:highlight w:val="none"/>
        <w:vertAlign w:val="baseline"/>
      </w:rPr>
    </w:lvl>
    <w:lvl w:ilvl="7" w:tplc="D4AC78A8">
      <w:start w:val="1"/>
      <w:numFmt w:val="lowerLetter"/>
      <w:lvlText w:val="%8."/>
      <w:lvlJc w:val="left"/>
      <w:pPr>
        <w:ind w:left="2778" w:hanging="2211"/>
      </w:pPr>
      <w:rPr>
        <w:rFonts w:hAnsi="Arial Unicode MS"/>
        <w:caps w:val="0"/>
        <w:smallCaps w:val="0"/>
        <w:strike w:val="0"/>
        <w:dstrike w:val="0"/>
        <w:outline w:val="0"/>
        <w:emboss w:val="0"/>
        <w:imprint w:val="0"/>
        <w:spacing w:val="0"/>
        <w:w w:val="100"/>
        <w:kern w:val="0"/>
        <w:position w:val="0"/>
        <w:highlight w:val="none"/>
        <w:vertAlign w:val="baseline"/>
      </w:rPr>
    </w:lvl>
    <w:lvl w:ilvl="8" w:tplc="224033B0">
      <w:start w:val="1"/>
      <w:numFmt w:val="lowerRoman"/>
      <w:lvlText w:val="%9."/>
      <w:lvlJc w:val="left"/>
      <w:pPr>
        <w:ind w:left="2018" w:hanging="145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C692335"/>
    <w:multiLevelType w:val="hybridMultilevel"/>
    <w:tmpl w:val="439E738E"/>
    <w:numStyleLink w:val="1"/>
  </w:abstractNum>
  <w:abstractNum w:abstractNumId="4" w15:restartNumberingAfterBreak="0">
    <w:nsid w:val="7EFD0C5F"/>
    <w:multiLevelType w:val="singleLevel"/>
    <w:tmpl w:val="7EFD0C5F"/>
    <w:lvl w:ilvl="0">
      <w:start w:val="1"/>
      <w:numFmt w:val="decimal"/>
      <w:suff w:val="space"/>
      <w:lvlText w:val="%1."/>
      <w:lvlJc w:val="left"/>
    </w:lvl>
  </w:abstractNum>
  <w:num w:numId="1" w16cid:durableId="1607811923">
    <w:abstractNumId w:val="1"/>
  </w:num>
  <w:num w:numId="2" w16cid:durableId="229273987">
    <w:abstractNumId w:val="0"/>
  </w:num>
  <w:num w:numId="3" w16cid:durableId="26029173">
    <w:abstractNumId w:val="4"/>
  </w:num>
  <w:num w:numId="4" w16cid:durableId="313143521">
    <w:abstractNumId w:val="2"/>
  </w:num>
  <w:num w:numId="5" w16cid:durableId="1643389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BA1"/>
    <w:rsid w:val="00303B63"/>
    <w:rsid w:val="00435CDA"/>
    <w:rsid w:val="004D4BA1"/>
    <w:rsid w:val="00D55965"/>
    <w:rsid w:val="00D923CF"/>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82632"/>
  <w15:chartTrackingRefBased/>
  <w15:docId w15:val="{0FDCCCF1-83A6-5F4D-AAC8-4885D525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BA1"/>
    <w:pPr>
      <w:spacing w:line="259" w:lineRule="auto"/>
    </w:pPr>
    <w:rPr>
      <w:rFonts w:ascii="DengXian" w:eastAsia="DengXian" w:hAnsi="DengXian" w:cs="Times New Roman"/>
      <w:sz w:val="22"/>
      <w:szCs w:val="22"/>
      <w:lang w:val="zh-CN"/>
      <w14:ligatures w14:val="none"/>
    </w:rPr>
  </w:style>
  <w:style w:type="paragraph" w:styleId="Heading1">
    <w:name w:val="heading 1"/>
    <w:basedOn w:val="Normal"/>
    <w:next w:val="Normal"/>
    <w:link w:val="Heading1Char"/>
    <w:uiPriority w:val="9"/>
    <w:qFormat/>
    <w:rsid w:val="004D4B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4B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B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B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B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B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B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B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B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Title"/>
    <w:autoRedefine/>
    <w:qFormat/>
    <w:rsid w:val="00D55965"/>
    <w:pPr>
      <w:pBdr>
        <w:top w:val="nil"/>
        <w:left w:val="nil"/>
        <w:bottom w:val="nil"/>
        <w:right w:val="nil"/>
        <w:between w:val="nil"/>
        <w:bar w:val="nil"/>
      </w:pBdr>
      <w:spacing w:line="360" w:lineRule="auto"/>
      <w:jc w:val="center"/>
    </w:pPr>
    <w:rPr>
      <w:rFonts w:ascii="Times New Roman" w:hAnsi="Times New Roman" w:cs="Times New Roman"/>
      <w:color w:val="000000"/>
      <w:sz w:val="28"/>
      <w:szCs w:val="28"/>
      <w:u w:color="000000"/>
      <w:bdr w:val="nil"/>
      <w:lang w:val="kk-KZ" w:eastAsia="ru-RU"/>
    </w:rPr>
  </w:style>
  <w:style w:type="paragraph" w:styleId="Title">
    <w:name w:val="Title"/>
    <w:basedOn w:val="Normal"/>
    <w:next w:val="Normal"/>
    <w:link w:val="TitleChar"/>
    <w:uiPriority w:val="10"/>
    <w:qFormat/>
    <w:rsid w:val="00D55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96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D4B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4B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B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B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B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B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B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B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BA1"/>
    <w:rPr>
      <w:rFonts w:eastAsiaTheme="majorEastAsia" w:cstheme="majorBidi"/>
      <w:color w:val="272727" w:themeColor="text1" w:themeTint="D8"/>
    </w:rPr>
  </w:style>
  <w:style w:type="paragraph" w:styleId="Subtitle">
    <w:name w:val="Subtitle"/>
    <w:basedOn w:val="Normal"/>
    <w:next w:val="Normal"/>
    <w:link w:val="SubtitleChar"/>
    <w:uiPriority w:val="11"/>
    <w:qFormat/>
    <w:rsid w:val="004D4B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B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BA1"/>
    <w:pPr>
      <w:spacing w:before="160"/>
      <w:jc w:val="center"/>
    </w:pPr>
    <w:rPr>
      <w:i/>
      <w:iCs/>
      <w:color w:val="404040" w:themeColor="text1" w:themeTint="BF"/>
    </w:rPr>
  </w:style>
  <w:style w:type="character" w:customStyle="1" w:styleId="QuoteChar">
    <w:name w:val="Quote Char"/>
    <w:basedOn w:val="DefaultParagraphFont"/>
    <w:link w:val="Quote"/>
    <w:uiPriority w:val="29"/>
    <w:rsid w:val="004D4BA1"/>
    <w:rPr>
      <w:i/>
      <w:iCs/>
      <w:color w:val="404040" w:themeColor="text1" w:themeTint="BF"/>
    </w:rPr>
  </w:style>
  <w:style w:type="paragraph" w:styleId="ListParagraph">
    <w:name w:val="List Paragraph"/>
    <w:basedOn w:val="Normal"/>
    <w:uiPriority w:val="34"/>
    <w:qFormat/>
    <w:rsid w:val="004D4BA1"/>
    <w:pPr>
      <w:ind w:left="720"/>
      <w:contextualSpacing/>
    </w:pPr>
  </w:style>
  <w:style w:type="character" w:styleId="IntenseEmphasis">
    <w:name w:val="Intense Emphasis"/>
    <w:basedOn w:val="DefaultParagraphFont"/>
    <w:uiPriority w:val="21"/>
    <w:qFormat/>
    <w:rsid w:val="004D4BA1"/>
    <w:rPr>
      <w:i/>
      <w:iCs/>
      <w:color w:val="0F4761" w:themeColor="accent1" w:themeShade="BF"/>
    </w:rPr>
  </w:style>
  <w:style w:type="paragraph" w:styleId="IntenseQuote">
    <w:name w:val="Intense Quote"/>
    <w:basedOn w:val="Normal"/>
    <w:next w:val="Normal"/>
    <w:link w:val="IntenseQuoteChar"/>
    <w:uiPriority w:val="30"/>
    <w:qFormat/>
    <w:rsid w:val="004D4B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BA1"/>
    <w:rPr>
      <w:i/>
      <w:iCs/>
      <w:color w:val="0F4761" w:themeColor="accent1" w:themeShade="BF"/>
    </w:rPr>
  </w:style>
  <w:style w:type="character" w:styleId="IntenseReference">
    <w:name w:val="Intense Reference"/>
    <w:basedOn w:val="DefaultParagraphFont"/>
    <w:uiPriority w:val="32"/>
    <w:qFormat/>
    <w:rsid w:val="004D4BA1"/>
    <w:rPr>
      <w:b/>
      <w:bCs/>
      <w:smallCaps/>
      <w:color w:val="0F4761" w:themeColor="accent1" w:themeShade="BF"/>
      <w:spacing w:val="5"/>
    </w:rPr>
  </w:style>
  <w:style w:type="character" w:styleId="CommentReference">
    <w:name w:val="annotation reference"/>
    <w:uiPriority w:val="99"/>
    <w:semiHidden/>
    <w:unhideWhenUsed/>
    <w:rsid w:val="004D4BA1"/>
    <w:rPr>
      <w:sz w:val="16"/>
      <w:szCs w:val="16"/>
    </w:rPr>
  </w:style>
  <w:style w:type="paragraph" w:styleId="CommentText">
    <w:name w:val="annotation text"/>
    <w:basedOn w:val="Normal"/>
    <w:link w:val="CommentTextChar"/>
    <w:uiPriority w:val="99"/>
    <w:unhideWhenUsed/>
    <w:rsid w:val="004D4BA1"/>
    <w:pPr>
      <w:spacing w:line="240" w:lineRule="auto"/>
    </w:pPr>
    <w:rPr>
      <w:sz w:val="20"/>
      <w:szCs w:val="20"/>
    </w:rPr>
  </w:style>
  <w:style w:type="character" w:customStyle="1" w:styleId="CommentTextChar">
    <w:name w:val="Comment Text Char"/>
    <w:basedOn w:val="DefaultParagraphFont"/>
    <w:link w:val="CommentText"/>
    <w:uiPriority w:val="99"/>
    <w:rsid w:val="004D4BA1"/>
    <w:rPr>
      <w:rFonts w:ascii="DengXian" w:eastAsia="DengXian" w:hAnsi="DengXian" w:cs="Times New Roman"/>
      <w:sz w:val="20"/>
      <w:szCs w:val="20"/>
      <w:lang w:val="zh-CN"/>
      <w14:ligatures w14:val="none"/>
    </w:rPr>
  </w:style>
  <w:style w:type="paragraph" w:styleId="CommentSubject">
    <w:name w:val="annotation subject"/>
    <w:basedOn w:val="CommentText"/>
    <w:next w:val="CommentText"/>
    <w:link w:val="CommentSubjectChar"/>
    <w:uiPriority w:val="99"/>
    <w:semiHidden/>
    <w:unhideWhenUsed/>
    <w:rsid w:val="004D4BA1"/>
    <w:rPr>
      <w:b/>
      <w:bCs/>
    </w:rPr>
  </w:style>
  <w:style w:type="character" w:customStyle="1" w:styleId="CommentSubjectChar">
    <w:name w:val="Comment Subject Char"/>
    <w:basedOn w:val="CommentTextChar"/>
    <w:link w:val="CommentSubject"/>
    <w:uiPriority w:val="99"/>
    <w:semiHidden/>
    <w:rsid w:val="004D4BA1"/>
    <w:rPr>
      <w:rFonts w:ascii="DengXian" w:eastAsia="DengXian" w:hAnsi="DengXian" w:cs="Times New Roman"/>
      <w:b/>
      <w:bCs/>
      <w:sz w:val="20"/>
      <w:szCs w:val="20"/>
      <w:lang w:val="zh-CN"/>
      <w14:ligatures w14:val="none"/>
    </w:rPr>
  </w:style>
  <w:style w:type="character" w:styleId="Emphasis">
    <w:name w:val="Emphasis"/>
    <w:qFormat/>
    <w:rsid w:val="004D4BA1"/>
    <w:rPr>
      <w:i/>
      <w:iCs/>
    </w:rPr>
  </w:style>
  <w:style w:type="character" w:styleId="FollowedHyperlink">
    <w:name w:val="FollowedHyperlink"/>
    <w:uiPriority w:val="99"/>
    <w:semiHidden/>
    <w:unhideWhenUsed/>
    <w:rsid w:val="004D4BA1"/>
    <w:rPr>
      <w:color w:val="96607D"/>
      <w:u w:val="single"/>
    </w:rPr>
  </w:style>
  <w:style w:type="character" w:styleId="Hyperlink">
    <w:name w:val="Hyperlink"/>
    <w:uiPriority w:val="99"/>
    <w:unhideWhenUsed/>
    <w:rsid w:val="004D4BA1"/>
    <w:rPr>
      <w:color w:val="467886"/>
      <w:u w:val="single"/>
    </w:rPr>
  </w:style>
  <w:style w:type="character" w:styleId="LineNumber">
    <w:name w:val="line number"/>
    <w:basedOn w:val="DefaultParagraphFont"/>
    <w:uiPriority w:val="99"/>
    <w:semiHidden/>
    <w:unhideWhenUsed/>
    <w:rsid w:val="004D4BA1"/>
  </w:style>
  <w:style w:type="paragraph" w:styleId="NormalWeb">
    <w:name w:val="Normal (Web)"/>
    <w:rsid w:val="004D4BA1"/>
    <w:pPr>
      <w:spacing w:beforeAutospacing="1" w:after="0" w:afterAutospacing="1" w:line="240" w:lineRule="auto"/>
    </w:pPr>
    <w:rPr>
      <w:rFonts w:ascii="Times New Roman" w:eastAsia="SimSun" w:hAnsi="Times New Roman" w:cs="Times New Roman"/>
      <w:kern w:val="0"/>
      <w:lang w:val="en-US" w:eastAsia="zh-CN"/>
      <w14:ligatures w14:val="none"/>
    </w:rPr>
  </w:style>
  <w:style w:type="character" w:styleId="Strong">
    <w:name w:val="Strong"/>
    <w:qFormat/>
    <w:rsid w:val="004D4BA1"/>
    <w:rPr>
      <w:b/>
      <w:bCs/>
    </w:rPr>
  </w:style>
  <w:style w:type="table" w:styleId="TableGrid">
    <w:name w:val="Table Grid"/>
    <w:basedOn w:val="TableNormal"/>
    <w:uiPriority w:val="39"/>
    <w:rsid w:val="004D4BA1"/>
    <w:pPr>
      <w:spacing w:after="0" w:line="240" w:lineRule="auto"/>
    </w:pPr>
    <w:rPr>
      <w:rFonts w:ascii="Times New Roman" w:eastAsia="SimSun" w:hAnsi="Times New Roman" w:cs="Times New Roman"/>
      <w:kern w:val="0"/>
      <w:sz w:val="20"/>
      <w:szCs w:val="2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uiPriority w:val="21"/>
    <w:qFormat/>
    <w:rsid w:val="004D4BA1"/>
    <w:rPr>
      <w:i/>
      <w:iCs/>
      <w:color w:val="0F4761"/>
    </w:rPr>
  </w:style>
  <w:style w:type="character" w:customStyle="1" w:styleId="IntenseReference1">
    <w:name w:val="Intense Reference1"/>
    <w:uiPriority w:val="32"/>
    <w:qFormat/>
    <w:rsid w:val="004D4BA1"/>
    <w:rPr>
      <w:b/>
      <w:bCs/>
      <w:smallCaps/>
      <w:color w:val="0F4761"/>
      <w:spacing w:val="5"/>
    </w:rPr>
  </w:style>
  <w:style w:type="character" w:customStyle="1" w:styleId="10">
    <w:name w:val="Неразрешенное упоминание1"/>
    <w:uiPriority w:val="99"/>
    <w:semiHidden/>
    <w:unhideWhenUsed/>
    <w:rsid w:val="004D4BA1"/>
    <w:rPr>
      <w:color w:val="605E5C"/>
      <w:shd w:val="clear" w:color="auto" w:fill="E1DFDD"/>
    </w:rPr>
  </w:style>
  <w:style w:type="paragraph" w:customStyle="1" w:styleId="MDPI31text">
    <w:name w:val="MDPI_3.1_text"/>
    <w:qFormat/>
    <w:rsid w:val="004D4BA1"/>
    <w:pPr>
      <w:adjustRightInd w:val="0"/>
      <w:snapToGrid w:val="0"/>
      <w:spacing w:after="0" w:line="228" w:lineRule="auto"/>
      <w:ind w:left="2608" w:firstLine="425"/>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Revision1">
    <w:name w:val="Revision1"/>
    <w:hidden/>
    <w:uiPriority w:val="99"/>
    <w:unhideWhenUsed/>
    <w:rsid w:val="004D4BA1"/>
    <w:pPr>
      <w:spacing w:after="0" w:line="240" w:lineRule="auto"/>
    </w:pPr>
    <w:rPr>
      <w:rFonts w:ascii="DengXian" w:eastAsia="DengXian" w:hAnsi="DengXian" w:cs="Times New Roman"/>
      <w:sz w:val="22"/>
      <w:szCs w:val="22"/>
      <w:lang w:val="zh-CN"/>
      <w14:ligatures w14:val="none"/>
    </w:rPr>
  </w:style>
  <w:style w:type="character" w:customStyle="1" w:styleId="UnresolvedMention1">
    <w:name w:val="Unresolved Mention1"/>
    <w:uiPriority w:val="99"/>
    <w:semiHidden/>
    <w:unhideWhenUsed/>
    <w:rsid w:val="004D4BA1"/>
    <w:rPr>
      <w:color w:val="605E5C"/>
      <w:shd w:val="clear" w:color="auto" w:fill="E1DFDD"/>
    </w:rPr>
  </w:style>
  <w:style w:type="character" w:styleId="UnresolvedMention">
    <w:name w:val="Unresolved Mention"/>
    <w:uiPriority w:val="99"/>
    <w:semiHidden/>
    <w:unhideWhenUsed/>
    <w:rsid w:val="004D4BA1"/>
    <w:rPr>
      <w:color w:val="605E5C"/>
      <w:shd w:val="clear" w:color="auto" w:fill="E1DFDD"/>
    </w:rPr>
  </w:style>
  <w:style w:type="paragraph" w:customStyle="1" w:styleId="a">
    <w:name w:val="Колонтитулы"/>
    <w:rsid w:val="00D923C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val="ru-RU" w:eastAsia="ru-RU"/>
      <w14:textOutline w14:w="0" w14:cap="flat" w14:cmpd="sng" w14:algn="ctr">
        <w14:noFill/>
        <w14:prstDash w14:val="solid"/>
        <w14:bevel/>
      </w14:textOutline>
      <w14:ligatures w14:val="none"/>
    </w:rPr>
  </w:style>
  <w:style w:type="character" w:customStyle="1" w:styleId="a0">
    <w:name w:val="Нет"/>
    <w:rsid w:val="00D923CF"/>
  </w:style>
  <w:style w:type="character" w:customStyle="1" w:styleId="Hyperlink0">
    <w:name w:val="Hyperlink.0"/>
    <w:basedOn w:val="a0"/>
    <w:rsid w:val="00D923CF"/>
    <w:rPr>
      <w:rFonts w:ascii="Times New Roman" w:eastAsia="Times New Roman" w:hAnsi="Times New Roman" w:cs="Times New Roman"/>
      <w:i/>
      <w:iCs/>
      <w:kern w:val="0"/>
      <w:sz w:val="24"/>
      <w:szCs w:val="24"/>
      <w:lang w:val="en-US"/>
    </w:rPr>
  </w:style>
  <w:style w:type="character" w:customStyle="1" w:styleId="Hyperlink1">
    <w:name w:val="Hyperlink.1"/>
    <w:basedOn w:val="a0"/>
    <w:rsid w:val="00D923CF"/>
    <w:rPr>
      <w:rFonts w:ascii="Times New Roman" w:eastAsia="Times New Roman" w:hAnsi="Times New Roman" w:cs="Times New Roman"/>
      <w:sz w:val="24"/>
      <w:szCs w:val="24"/>
      <w:lang w:val="en-US"/>
    </w:rPr>
  </w:style>
  <w:style w:type="numbering" w:customStyle="1" w:styleId="1">
    <w:name w:val="Импортированный стиль 1"/>
    <w:rsid w:val="00D923CF"/>
    <w:pPr>
      <w:numPr>
        <w:numId w:val="4"/>
      </w:numPr>
    </w:pPr>
  </w:style>
  <w:style w:type="character" w:customStyle="1" w:styleId="a1">
    <w:name w:val="Ссылка"/>
    <w:rsid w:val="00D923CF"/>
    <w:rPr>
      <w:outline w:val="0"/>
      <w:color w:val="467886"/>
      <w:u w:val="single" w:color="467886"/>
    </w:rPr>
  </w:style>
  <w:style w:type="character" w:customStyle="1" w:styleId="Hyperlink2">
    <w:name w:val="Hyperlink.2"/>
    <w:basedOn w:val="a1"/>
    <w:rsid w:val="00D923CF"/>
    <w:rPr>
      <w:outline w:val="0"/>
      <w:color w:val="467886"/>
      <w:kern w:val="0"/>
      <w:u w:val="single" w:color="467886"/>
      <w:lang w:val="ru-RU"/>
    </w:rPr>
  </w:style>
  <w:style w:type="character" w:customStyle="1" w:styleId="Hyperlink3">
    <w:name w:val="Hyperlink.3"/>
    <w:basedOn w:val="a1"/>
    <w:rsid w:val="00D923CF"/>
    <w:rPr>
      <w:outline w:val="0"/>
      <w:color w:val="467886"/>
      <w:kern w:val="0"/>
      <w:u w:val="single" w:color="467886"/>
      <w:lang w:val="en-US"/>
    </w:rPr>
  </w:style>
  <w:style w:type="character" w:customStyle="1" w:styleId="Hyperlink4">
    <w:name w:val="Hyperlink.4"/>
    <w:basedOn w:val="a0"/>
    <w:rsid w:val="00D923CF"/>
    <w:rPr>
      <w:outline w:val="0"/>
      <w:color w:val="467886"/>
      <w:kern w:val="0"/>
      <w:u w:val="single" w:color="467886"/>
      <w:lang w:val="ru-RU"/>
    </w:rPr>
  </w:style>
  <w:style w:type="character" w:customStyle="1" w:styleId="Hyperlink5">
    <w:name w:val="Hyperlink.5"/>
    <w:basedOn w:val="a0"/>
    <w:rsid w:val="00D923CF"/>
    <w:rPr>
      <w:outline w:val="0"/>
      <w:color w:val="467886"/>
      <w:kern w:val="0"/>
      <w:u w:val="single" w:color="467886"/>
      <w:lang w:val="en-US"/>
    </w:rPr>
  </w:style>
  <w:style w:type="character" w:customStyle="1" w:styleId="Hyperlink6">
    <w:name w:val="Hyperlink.6"/>
    <w:basedOn w:val="a0"/>
    <w:rsid w:val="00D923CF"/>
    <w:rPr>
      <w:outline w:val="0"/>
      <w:color w:val="467886"/>
      <w:kern w:val="0"/>
      <w:u w:val="single" w:color="467886"/>
      <w:lang w:val="en-US"/>
    </w:rPr>
  </w:style>
  <w:style w:type="character" w:customStyle="1" w:styleId="Hyperlink7">
    <w:name w:val="Hyperlink.7"/>
    <w:basedOn w:val="a1"/>
    <w:rsid w:val="00D923CF"/>
    <w:rPr>
      <w:outline w:val="0"/>
      <w:color w:val="467886"/>
      <w:kern w:val="0"/>
      <w:u w:val="single" w:color="46788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7717/peerj.15134" TargetMode="External"/><Relationship Id="rId18" Type="http://schemas.openxmlformats.org/officeDocument/2006/relationships/hyperlink" Target="https://doi.org/10.3329/jbas.v40i1.28323" TargetMode="External"/><Relationship Id="rId26" Type="http://schemas.openxmlformats.org/officeDocument/2006/relationships/hyperlink" Target="https://doi.org/10.1007/s12403-024-00672-2" TargetMode="External"/><Relationship Id="rId39" Type="http://schemas.openxmlformats.org/officeDocument/2006/relationships/hyperlink" Target="https://doi.org/10.1080/19440040903573032" TargetMode="External"/><Relationship Id="rId21" Type="http://schemas.openxmlformats.org/officeDocument/2006/relationships/hyperlink" Target="https://doi.org/10.3390/pathogens12040565" TargetMode="External"/><Relationship Id="rId34" Type="http://schemas.openxmlformats.org/officeDocument/2006/relationships/hyperlink" Target="https://doi.org/10.1016/j.simyco.2014.07.004" TargetMode="External"/><Relationship Id="rId42" Type="http://schemas.openxmlformats.org/officeDocument/2006/relationships/hyperlink" Target="mailto:smagulova0114@gmail.com" TargetMode="External"/><Relationship Id="rId47" Type="http://schemas.openxmlformats.org/officeDocument/2006/relationships/theme" Target="theme/theme1.xml"/><Relationship Id="rId7" Type="http://schemas.openxmlformats.org/officeDocument/2006/relationships/hyperlink" Target="mailto:dyussembayev@biocenter.kz" TargetMode="External"/><Relationship Id="rId2" Type="http://schemas.openxmlformats.org/officeDocument/2006/relationships/styles" Target="styles.xml"/><Relationship Id="rId16" Type="http://schemas.openxmlformats.org/officeDocument/2006/relationships/hyperlink" Target="https://doi.org/10.1016/j.gene.2024.149151" TargetMode="External"/><Relationship Id="rId29" Type="http://schemas.openxmlformats.org/officeDocument/2006/relationships/hyperlink" Target="https://doi.org/10.1128/AEM.72.1.680-685.2006" TargetMode="External"/><Relationship Id="rId1" Type="http://schemas.openxmlformats.org/officeDocument/2006/relationships/numbering" Target="numbering.xml"/><Relationship Id="rId6" Type="http://schemas.openxmlformats.org/officeDocument/2006/relationships/hyperlink" Target="mailto:smagulova0114@gmail.com" TargetMode="External"/><Relationship Id="rId11" Type="http://schemas.openxmlformats.org/officeDocument/2006/relationships/hyperlink" Target="https://doi.org/10.1385/1-59745-130-4:313" TargetMode="External"/><Relationship Id="rId24" Type="http://schemas.openxmlformats.org/officeDocument/2006/relationships/hyperlink" Target="https://doi.org/10.3390/toxins15010061" TargetMode="External"/><Relationship Id="rId32" Type="http://schemas.openxmlformats.org/officeDocument/2006/relationships/hyperlink" Target="https://doi.org/10.1093/molbev/msab120" TargetMode="External"/><Relationship Id="rId37" Type="http://schemas.openxmlformats.org/officeDocument/2006/relationships/hyperlink" Target="https://doi.org/10.1007/s44187-025-00680-4" TargetMode="External"/><Relationship Id="rId40" Type="http://schemas.openxmlformats.org/officeDocument/2006/relationships/hyperlink" Target="mailto:smagulova0114@gmail.com" TargetMode="External"/><Relationship Id="rId45"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hyperlink" Target="https://doi.org/10.3390/foods14152610" TargetMode="External"/><Relationship Id="rId23" Type="http://schemas.openxmlformats.org/officeDocument/2006/relationships/hyperlink" Target="https://doi.org/10.1111/1541-4337.13008" TargetMode="External"/><Relationship Id="rId28" Type="http://schemas.openxmlformats.org/officeDocument/2006/relationships/hyperlink" Target="https://doi.org/10.3390/pathogens12030418" TargetMode="External"/><Relationship Id="rId36" Type="http://schemas.openxmlformats.org/officeDocument/2006/relationships/hyperlink" Target="https://doi.org/10.1016/j.foodcont.2022.108855" TargetMode="External"/><Relationship Id="rId10" Type="http://schemas.openxmlformats.org/officeDocument/2006/relationships/image" Target="media/image3.png"/><Relationship Id="rId19" Type="http://schemas.openxmlformats.org/officeDocument/2006/relationships/hyperlink" Target="https://doi.org/10.1007/s40858-024-00663-3" TargetMode="External"/><Relationship Id="rId31" Type="http://schemas.openxmlformats.org/officeDocument/2006/relationships/hyperlink" Target="https://doi.org/10.3892/br.2016.615"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080/23311932.2019.1615718" TargetMode="External"/><Relationship Id="rId22" Type="http://schemas.openxmlformats.org/officeDocument/2006/relationships/hyperlink" Target="https://doi.org/10.3103/S0095452725040097" TargetMode="External"/><Relationship Id="rId27" Type="http://schemas.openxmlformats.org/officeDocument/2006/relationships/hyperlink" Target="https://doi.org/10.1111/1541-4337.13363" TargetMode="External"/><Relationship Id="rId30" Type="http://schemas.openxmlformats.org/officeDocument/2006/relationships/hyperlink" Target="https://doi.org/10.1186/s13071-025-06682-6" TargetMode="External"/><Relationship Id="rId35" Type="http://schemas.openxmlformats.org/officeDocument/2006/relationships/hyperlink" Target="https://doi.org/10.3390/plants11223167" TargetMode="External"/><Relationship Id="rId43" Type="http://schemas.openxmlformats.org/officeDocument/2006/relationships/hyperlink" Target="mailto:dyussembayev@biocenter.kz" TargetMode="External"/><Relationship Id="rId8" Type="http://schemas.openxmlformats.org/officeDocument/2006/relationships/hyperlink" Target="https://doi.org/10.32523/2789-4320-2024-1-x-x" TargetMode="External"/><Relationship Id="rId3" Type="http://schemas.openxmlformats.org/officeDocument/2006/relationships/settings" Target="settings.xml"/><Relationship Id="rId12" Type="http://schemas.openxmlformats.org/officeDocument/2006/relationships/hyperlink" Target="https://doi.org/10.7717/peerj.15560" TargetMode="External"/><Relationship Id="rId17" Type="http://schemas.openxmlformats.org/officeDocument/2006/relationships/hyperlink" Target="https://doi.org/10.1016/j.cofs.2018.05.003" TargetMode="External"/><Relationship Id="rId25" Type="http://schemas.openxmlformats.org/officeDocument/2006/relationships/hyperlink" Target="https://doi.org/10.4081/ijfs.2025.14096" TargetMode="External"/><Relationship Id="rId33" Type="http://schemas.openxmlformats.org/officeDocument/2006/relationships/hyperlink" Target="https://doi.org/10.1016/j.ijfoodmicro.2007.07.034" TargetMode="External"/><Relationship Id="rId38" Type="http://schemas.openxmlformats.org/officeDocument/2006/relationships/hyperlink" Target="https://doi.org/10.1080/19440040903514523" TargetMode="External"/><Relationship Id="rId46" Type="http://schemas.openxmlformats.org/officeDocument/2006/relationships/fontTable" Target="fontTable.xml"/><Relationship Id="rId20" Type="http://schemas.openxmlformats.org/officeDocument/2006/relationships/hyperlink" Target="https://doi.org/10.37871/jbres1690" TargetMode="External"/><Relationship Id="rId41" Type="http://schemas.openxmlformats.org/officeDocument/2006/relationships/hyperlink" Target="mailto:dyussembayev@biocenter.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4943</Words>
  <Characters>28176</Characters>
  <Application>Microsoft Office Word</Application>
  <DocSecurity>0</DocSecurity>
  <Lines>234</Lines>
  <Paragraphs>66</Paragraphs>
  <ScaleCrop>false</ScaleCrop>
  <Company/>
  <LinksUpToDate>false</LinksUpToDate>
  <CharactersWithSpaces>33053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Kuralay Zhanassova</dc:creator>
  <cp:keywords/>
  <dc:description/>
  <cp:lastModifiedBy>Kuralay Zhanassova</cp:lastModifiedBy>
  <cp:revision>2</cp:revision>
  <dcterms:created xsi:type="dcterms:W3CDTF">2026-06-25T13:46:00Z</dcterms:created>
  <dcterms:modified xsi:type="dcterms:W3CDTF">2026-06-25T13:48:00Z</dcterms:modified>
</cp:coreProperties>
</file>